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D6" w:rsidRPr="00BB41D6" w:rsidRDefault="00C420D2" w:rsidP="004A47CC">
      <w:pPr>
        <w:spacing w:line="240" w:lineRule="auto"/>
        <w:jc w:val="center"/>
        <w:rPr>
          <w:b/>
          <w:bCs/>
          <w:sz w:val="32"/>
          <w:szCs w:val="28"/>
        </w:rPr>
      </w:pPr>
      <w:r w:rsidRPr="00BB41D6">
        <w:rPr>
          <w:b/>
          <w:bCs/>
          <w:sz w:val="32"/>
          <w:szCs w:val="28"/>
        </w:rPr>
        <w:t xml:space="preserve">               </w:t>
      </w:r>
    </w:p>
    <w:p w:rsidR="00BB41D6" w:rsidRPr="00BB41D6" w:rsidRDefault="00BB41D6" w:rsidP="00BB41D6">
      <w:pPr>
        <w:spacing w:after="120"/>
        <w:ind w:right="-33"/>
        <w:jc w:val="center"/>
        <w:rPr>
          <w:b/>
          <w:color w:val="0000FF"/>
          <w:sz w:val="24"/>
          <w:u w:val="single"/>
        </w:rPr>
      </w:pPr>
      <w:r w:rsidRPr="00BB41D6">
        <w:rPr>
          <w:b/>
          <w:noProof/>
          <w:color w:val="0000FF"/>
          <w:sz w:val="24"/>
          <w:u w:val="single"/>
          <w:lang w:eastAsia="el-GR"/>
        </w:rPr>
        <w:drawing>
          <wp:anchor distT="0" distB="0" distL="114300" distR="114300" simplePos="0" relativeHeight="251664384" behindDoc="0" locked="0" layoutInCell="1" allowOverlap="1" wp14:anchorId="49352D6F" wp14:editId="181CE341">
            <wp:simplePos x="0" y="0"/>
            <wp:positionH relativeFrom="column">
              <wp:posOffset>-114300</wp:posOffset>
            </wp:positionH>
            <wp:positionV relativeFrom="paragraph">
              <wp:posOffset>-114300</wp:posOffset>
            </wp:positionV>
            <wp:extent cx="1049655"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clrChange>
                        <a:clrFrom>
                          <a:srgbClr val="B7B7B7"/>
                        </a:clrFrom>
                        <a:clrTo>
                          <a:srgbClr val="B7B7B7">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1D6">
        <w:rPr>
          <w:b/>
          <w:color w:val="0000FF"/>
          <w:sz w:val="24"/>
          <w:u w:val="single"/>
        </w:rPr>
        <w:t xml:space="preserve">ΕΛΛΗΝΙΚΗ ΡΕΥΜΑΤΟΛΟΓΙΚΗ ΕΤΑΙΡΕΙΑ </w:t>
      </w:r>
    </w:p>
    <w:p w:rsidR="00BB41D6" w:rsidRPr="00BB41D6" w:rsidRDefault="00BB41D6" w:rsidP="00BB41D6">
      <w:pPr>
        <w:spacing w:after="120"/>
        <w:ind w:right="-34"/>
        <w:jc w:val="center"/>
        <w:rPr>
          <w:b/>
          <w:color w:val="0000FF"/>
          <w:sz w:val="24"/>
          <w:u w:val="single"/>
        </w:rPr>
      </w:pPr>
      <w:r w:rsidRPr="00BB41D6">
        <w:rPr>
          <w:b/>
          <w:color w:val="0000FF"/>
          <w:sz w:val="24"/>
          <w:u w:val="single"/>
        </w:rPr>
        <w:t>&amp; ΕΠΑΓΓΕΛΜΑΤΙΚΗ ΕΝΩΣΗ ΡΕΥΜΑΤΟΛΟΓΩΝ ΕΛΛΑΔΟΣ</w:t>
      </w:r>
    </w:p>
    <w:p w:rsidR="00BB41D6" w:rsidRPr="00BB41D6" w:rsidRDefault="00BB41D6" w:rsidP="00BB41D6">
      <w:pPr>
        <w:spacing w:after="120"/>
        <w:ind w:right="-34"/>
        <w:jc w:val="center"/>
        <w:rPr>
          <w:b/>
          <w:color w:val="0000FF"/>
          <w:sz w:val="24"/>
          <w:u w:val="single"/>
        </w:rPr>
      </w:pPr>
      <w:r w:rsidRPr="00BB41D6">
        <w:rPr>
          <w:b/>
          <w:color w:val="0000FF"/>
          <w:sz w:val="24"/>
          <w:u w:val="single"/>
        </w:rPr>
        <w:t>(Ε.Ρ.Ε.-ΕΠ.Ε.Ρ.Ε.)</w:t>
      </w:r>
    </w:p>
    <w:p w:rsidR="00BB41D6" w:rsidRPr="00BB41D6" w:rsidRDefault="00BB41D6" w:rsidP="00BB41D6">
      <w:pPr>
        <w:spacing w:after="120"/>
        <w:ind w:left="720" w:right="-33" w:firstLine="720"/>
        <w:jc w:val="center"/>
        <w:rPr>
          <w:b/>
          <w:sz w:val="24"/>
          <w:u w:val="single"/>
        </w:rPr>
      </w:pPr>
      <w:r w:rsidRPr="00BB41D6">
        <w:rPr>
          <w:b/>
          <w:sz w:val="24"/>
          <w:u w:val="single"/>
        </w:rPr>
        <w:t>Έτος Ιδρύσεως 1960</w:t>
      </w:r>
    </w:p>
    <w:p w:rsidR="00BB41D6" w:rsidRPr="00B228C5" w:rsidRDefault="00BB41D6" w:rsidP="00BB41D6">
      <w:pPr>
        <w:spacing w:after="120"/>
        <w:jc w:val="both"/>
        <w:rPr>
          <w:rFonts w:ascii="Arial" w:hAnsi="Arial" w:cs="Arial"/>
        </w:rPr>
      </w:pPr>
    </w:p>
    <w:p w:rsidR="00BB41D6" w:rsidRDefault="00BB41D6" w:rsidP="00BB41D6">
      <w:pPr>
        <w:spacing w:after="120"/>
        <w:jc w:val="center"/>
        <w:rPr>
          <w:rFonts w:asciiTheme="majorHAnsi" w:hAnsiTheme="majorHAnsi" w:cs="Times New Roman"/>
          <w:b/>
          <w:sz w:val="40"/>
        </w:rPr>
      </w:pPr>
    </w:p>
    <w:p w:rsidR="00BB41D6" w:rsidRPr="00BB41D6" w:rsidRDefault="00BB41D6" w:rsidP="00BB41D6">
      <w:pPr>
        <w:spacing w:after="120"/>
        <w:jc w:val="center"/>
        <w:rPr>
          <w:rFonts w:cs="Times New Roman"/>
          <w:b/>
          <w:sz w:val="40"/>
        </w:rPr>
      </w:pPr>
      <w:r w:rsidRPr="00BB41D6">
        <w:rPr>
          <w:rFonts w:cs="Times New Roman"/>
          <w:b/>
          <w:sz w:val="40"/>
        </w:rPr>
        <w:t>Κατευθυντήριες οδηγίες</w:t>
      </w:r>
    </w:p>
    <w:p w:rsidR="00BB41D6" w:rsidRPr="00BB41D6" w:rsidRDefault="00BB41D6" w:rsidP="00BB41D6">
      <w:pPr>
        <w:tabs>
          <w:tab w:val="left" w:pos="284"/>
          <w:tab w:val="left" w:pos="567"/>
        </w:tabs>
        <w:spacing w:after="120"/>
        <w:jc w:val="center"/>
        <w:rPr>
          <w:rFonts w:cs="Times New Roman"/>
          <w:b/>
          <w:sz w:val="40"/>
        </w:rPr>
      </w:pPr>
      <w:r w:rsidRPr="00BB41D6">
        <w:rPr>
          <w:rFonts w:cs="Times New Roman"/>
          <w:b/>
          <w:sz w:val="40"/>
        </w:rPr>
        <w:t xml:space="preserve">για τη θεραπεία </w:t>
      </w:r>
      <w:r w:rsidRPr="00BB41D6">
        <w:rPr>
          <w:rFonts w:cs="Times New Roman"/>
          <w:b/>
          <w:sz w:val="40"/>
        </w:rPr>
        <w:t>της</w:t>
      </w:r>
    </w:p>
    <w:p w:rsidR="00BB41D6" w:rsidRPr="00BB41D6" w:rsidRDefault="00BB41D6" w:rsidP="00BB41D6">
      <w:pPr>
        <w:tabs>
          <w:tab w:val="left" w:pos="284"/>
          <w:tab w:val="left" w:pos="567"/>
        </w:tabs>
        <w:spacing w:after="120"/>
        <w:jc w:val="center"/>
        <w:rPr>
          <w:rFonts w:cs="Times New Roman"/>
          <w:b/>
          <w:sz w:val="40"/>
        </w:rPr>
      </w:pPr>
      <w:r w:rsidRPr="00BB41D6">
        <w:rPr>
          <w:rFonts w:cs="Times New Roman"/>
          <w:b/>
          <w:sz w:val="40"/>
        </w:rPr>
        <w:t>Νεανικής Ιδιοπαθούς Αρθρίτιδας</w:t>
      </w:r>
    </w:p>
    <w:p w:rsidR="00BB41D6" w:rsidRPr="00BB41D6" w:rsidRDefault="00BB41D6" w:rsidP="00BB41D6">
      <w:pPr>
        <w:tabs>
          <w:tab w:val="left" w:pos="284"/>
          <w:tab w:val="left" w:pos="567"/>
        </w:tabs>
        <w:spacing w:after="120"/>
        <w:jc w:val="center"/>
        <w:rPr>
          <w:rFonts w:cs="Times New Roman"/>
          <w:sz w:val="32"/>
        </w:rPr>
      </w:pPr>
      <w:r w:rsidRPr="00BB41D6">
        <w:rPr>
          <w:rFonts w:cs="Times New Roman"/>
          <w:sz w:val="32"/>
        </w:rPr>
        <w:t>Μ</w:t>
      </w:r>
      <w:r w:rsidRPr="00BB41D6">
        <w:rPr>
          <w:rFonts w:cs="Times New Roman"/>
          <w:sz w:val="32"/>
        </w:rPr>
        <w:t>άρτιος 2015</w:t>
      </w:r>
    </w:p>
    <w:p w:rsidR="00BB41D6" w:rsidRDefault="00BB41D6" w:rsidP="00BB41D6">
      <w:pPr>
        <w:tabs>
          <w:tab w:val="left" w:pos="284"/>
          <w:tab w:val="left" w:pos="567"/>
        </w:tabs>
        <w:spacing w:after="120"/>
        <w:ind w:left="284"/>
        <w:jc w:val="both"/>
        <w:rPr>
          <w:rFonts w:asciiTheme="majorHAnsi" w:hAnsiTheme="majorHAnsi" w:cs="Times New Roman"/>
        </w:rPr>
      </w:pPr>
    </w:p>
    <w:p w:rsidR="00BB41D6" w:rsidRDefault="00BB41D6" w:rsidP="00BB41D6">
      <w:pPr>
        <w:tabs>
          <w:tab w:val="left" w:pos="284"/>
          <w:tab w:val="left" w:pos="567"/>
        </w:tabs>
        <w:spacing w:after="120"/>
        <w:ind w:left="284"/>
        <w:jc w:val="both"/>
        <w:rPr>
          <w:rFonts w:asciiTheme="majorHAnsi" w:hAnsiTheme="majorHAnsi" w:cs="Times New Roman"/>
        </w:rPr>
      </w:pPr>
    </w:p>
    <w:p w:rsidR="00BB41D6" w:rsidRDefault="00BB41D6" w:rsidP="00BB41D6">
      <w:pPr>
        <w:tabs>
          <w:tab w:val="left" w:pos="284"/>
          <w:tab w:val="left" w:pos="567"/>
        </w:tabs>
        <w:spacing w:after="120"/>
        <w:ind w:left="284"/>
        <w:jc w:val="both"/>
        <w:rPr>
          <w:rFonts w:asciiTheme="majorHAnsi" w:hAnsiTheme="majorHAnsi" w:cs="Times New Roman"/>
        </w:rPr>
      </w:pPr>
    </w:p>
    <w:p w:rsidR="00BB41D6" w:rsidRDefault="00BB41D6" w:rsidP="00BB41D6">
      <w:pPr>
        <w:tabs>
          <w:tab w:val="left" w:pos="284"/>
          <w:tab w:val="left" w:pos="567"/>
        </w:tabs>
        <w:spacing w:after="120"/>
        <w:ind w:left="284"/>
        <w:jc w:val="both"/>
        <w:rPr>
          <w:rFonts w:asciiTheme="majorHAnsi" w:hAnsiTheme="majorHAnsi" w:cs="Times New Roman"/>
        </w:rPr>
      </w:pPr>
    </w:p>
    <w:p w:rsidR="00BB41D6" w:rsidRDefault="00BB41D6" w:rsidP="00BB41D6">
      <w:pPr>
        <w:tabs>
          <w:tab w:val="left" w:pos="284"/>
          <w:tab w:val="left" w:pos="567"/>
        </w:tabs>
        <w:spacing w:after="120"/>
        <w:ind w:left="284"/>
        <w:jc w:val="both"/>
        <w:rPr>
          <w:rFonts w:asciiTheme="majorHAnsi" w:hAnsiTheme="majorHAnsi" w:cs="Times New Roman"/>
          <w:u w:val="single"/>
        </w:rPr>
      </w:pPr>
      <w:r w:rsidRPr="00B228C5">
        <w:rPr>
          <w:rFonts w:asciiTheme="majorHAnsi" w:hAnsiTheme="majorHAnsi" w:cs="Times New Roman"/>
          <w:u w:val="single"/>
        </w:rPr>
        <w:t>Συγγραφείς</w:t>
      </w:r>
      <w:r>
        <w:rPr>
          <w:rFonts w:asciiTheme="majorHAnsi" w:hAnsiTheme="majorHAnsi" w:cs="Times New Roman"/>
          <w:u w:val="single"/>
        </w:rPr>
        <w:t>:</w:t>
      </w:r>
    </w:p>
    <w:p w:rsidR="00BB41D6" w:rsidRPr="002F31CB" w:rsidRDefault="00BB41D6" w:rsidP="00BB41D6">
      <w:pPr>
        <w:spacing w:after="120" w:line="240" w:lineRule="auto"/>
        <w:ind w:firstLine="284"/>
        <w:rPr>
          <w:rFonts w:asciiTheme="majorHAnsi" w:hAnsiTheme="majorHAnsi" w:cs="Times New Roman"/>
          <w:i/>
        </w:rPr>
      </w:pPr>
      <w:r w:rsidRPr="00BB41D6">
        <w:rPr>
          <w:bCs/>
          <w:i/>
          <w:szCs w:val="24"/>
        </w:rPr>
        <w:t>Φλωρεντία Κανακούδη- Τσακαλίδου</w:t>
      </w:r>
      <w:r w:rsidRPr="002F31CB">
        <w:rPr>
          <w:rFonts w:asciiTheme="majorHAnsi" w:hAnsiTheme="majorHAnsi" w:cs="Times New Roman"/>
          <w:i/>
          <w:vertAlign w:val="superscript"/>
        </w:rPr>
        <w:t>1</w:t>
      </w:r>
      <w:r w:rsidRPr="002F31CB">
        <w:rPr>
          <w:rFonts w:asciiTheme="majorHAnsi" w:hAnsiTheme="majorHAnsi" w:cs="Times New Roman"/>
          <w:i/>
        </w:rPr>
        <w:t xml:space="preserve">, </w:t>
      </w:r>
      <w:r w:rsidRPr="00BB41D6">
        <w:rPr>
          <w:bCs/>
          <w:i/>
          <w:szCs w:val="24"/>
        </w:rPr>
        <w:t>Πολυξένη Πρατσίδου-Γκέρτση</w:t>
      </w:r>
      <w:r w:rsidRPr="00BB41D6">
        <w:rPr>
          <w:b/>
          <w:bCs/>
          <w:szCs w:val="24"/>
        </w:rPr>
        <w:t xml:space="preserve"> </w:t>
      </w:r>
      <w:r w:rsidRPr="002F31CB">
        <w:rPr>
          <w:rFonts w:asciiTheme="majorHAnsi" w:hAnsiTheme="majorHAnsi" w:cs="Times New Roman"/>
          <w:i/>
          <w:vertAlign w:val="superscript"/>
        </w:rPr>
        <w:t>2</w:t>
      </w:r>
      <w:r w:rsidRPr="002F31CB">
        <w:rPr>
          <w:rFonts w:asciiTheme="majorHAnsi" w:hAnsiTheme="majorHAnsi" w:cs="Times New Roman"/>
          <w:i/>
        </w:rPr>
        <w:t xml:space="preserve">, </w:t>
      </w:r>
      <w:r w:rsidRPr="00BB41D6">
        <w:rPr>
          <w:bCs/>
          <w:i/>
          <w:szCs w:val="24"/>
        </w:rPr>
        <w:t>Μαρία Τραχανά</w:t>
      </w:r>
      <w:r>
        <w:rPr>
          <w:bCs/>
          <w:i/>
          <w:szCs w:val="24"/>
        </w:rPr>
        <w:t xml:space="preserve"> </w:t>
      </w:r>
      <w:r w:rsidRPr="002F31CB">
        <w:rPr>
          <w:rFonts w:asciiTheme="majorHAnsi" w:hAnsiTheme="majorHAnsi" w:cs="Times New Roman"/>
          <w:i/>
          <w:vertAlign w:val="superscript"/>
        </w:rPr>
        <w:t>3</w:t>
      </w:r>
    </w:p>
    <w:p w:rsidR="00BB41D6" w:rsidRPr="00163B51" w:rsidRDefault="00BB41D6" w:rsidP="00BB41D6">
      <w:pPr>
        <w:spacing w:line="240" w:lineRule="auto"/>
        <w:ind w:left="284"/>
        <w:rPr>
          <w:b/>
          <w:bCs/>
          <w:sz w:val="24"/>
          <w:szCs w:val="24"/>
        </w:rPr>
      </w:pPr>
      <w:r w:rsidRPr="002F31CB">
        <w:rPr>
          <w:rFonts w:asciiTheme="majorHAnsi" w:hAnsiTheme="majorHAnsi" w:cs="Times New Roman"/>
          <w:vertAlign w:val="superscript"/>
        </w:rPr>
        <w:t xml:space="preserve">1 </w:t>
      </w:r>
      <w:r>
        <w:rPr>
          <w:rFonts w:asciiTheme="majorHAnsi" w:hAnsiTheme="majorHAnsi" w:cs="Times New Roman"/>
          <w:vertAlign w:val="superscript"/>
        </w:rPr>
        <w:t xml:space="preserve"> </w:t>
      </w:r>
      <w:r>
        <w:rPr>
          <w:rFonts w:asciiTheme="majorHAnsi" w:hAnsiTheme="majorHAnsi" w:cs="Times New Roman"/>
        </w:rPr>
        <w:t>Παιδορευματολόγος</w:t>
      </w:r>
      <w:r w:rsidRPr="002F31CB">
        <w:rPr>
          <w:rFonts w:asciiTheme="majorHAnsi" w:hAnsiTheme="majorHAnsi" w:cs="Times New Roman"/>
        </w:rPr>
        <w:t xml:space="preserve">, </w:t>
      </w:r>
      <w:r w:rsidRPr="00BB41D6">
        <w:rPr>
          <w:bCs/>
          <w:szCs w:val="24"/>
        </w:rPr>
        <w:t>Ομότιμη καθηγήτρια Ιατρικής Σχολής του ΑΠΘ</w:t>
      </w:r>
    </w:p>
    <w:p w:rsidR="00BB41D6" w:rsidRPr="00BB41D6" w:rsidRDefault="00BB41D6" w:rsidP="00BB41D6">
      <w:pPr>
        <w:spacing w:line="240" w:lineRule="auto"/>
        <w:ind w:left="284"/>
        <w:rPr>
          <w:bCs/>
          <w:szCs w:val="24"/>
        </w:rPr>
      </w:pPr>
      <w:r w:rsidRPr="002F31CB">
        <w:rPr>
          <w:rFonts w:asciiTheme="majorHAnsi" w:hAnsiTheme="majorHAnsi" w:cs="Times New Roman"/>
          <w:vertAlign w:val="superscript"/>
        </w:rPr>
        <w:t>2</w:t>
      </w:r>
      <w:r w:rsidRPr="002F31CB">
        <w:rPr>
          <w:rFonts w:asciiTheme="majorHAnsi" w:hAnsiTheme="majorHAnsi" w:cs="Times New Roman"/>
        </w:rPr>
        <w:t xml:space="preserve"> </w:t>
      </w:r>
      <w:r>
        <w:rPr>
          <w:rFonts w:asciiTheme="majorHAnsi" w:hAnsiTheme="majorHAnsi" w:cs="Times New Roman"/>
        </w:rPr>
        <w:t>Παιδορευματολόγος</w:t>
      </w:r>
      <w:r w:rsidRPr="002F31CB">
        <w:rPr>
          <w:rFonts w:asciiTheme="majorHAnsi" w:hAnsiTheme="majorHAnsi" w:cs="Times New Roman"/>
        </w:rPr>
        <w:t xml:space="preserve">, </w:t>
      </w:r>
      <w:r w:rsidRPr="00BB41D6">
        <w:rPr>
          <w:bCs/>
          <w:szCs w:val="24"/>
        </w:rPr>
        <w:t>Πανεπιστημιακή Υπότροφος Α΄ Παιδιατρικής Κλινικής του ΑΠΘ</w:t>
      </w:r>
    </w:p>
    <w:p w:rsidR="00BB41D6" w:rsidRPr="00163B51" w:rsidRDefault="00BB41D6" w:rsidP="00BB41D6">
      <w:pPr>
        <w:spacing w:line="240" w:lineRule="auto"/>
        <w:ind w:left="284"/>
        <w:rPr>
          <w:b/>
          <w:bCs/>
          <w:sz w:val="24"/>
          <w:szCs w:val="24"/>
        </w:rPr>
      </w:pPr>
      <w:r>
        <w:rPr>
          <w:rFonts w:asciiTheme="majorHAnsi" w:hAnsiTheme="majorHAnsi" w:cs="Times New Roman"/>
          <w:vertAlign w:val="superscript"/>
        </w:rPr>
        <w:t xml:space="preserve">3  </w:t>
      </w:r>
      <w:r>
        <w:rPr>
          <w:rFonts w:asciiTheme="majorHAnsi" w:hAnsiTheme="majorHAnsi" w:cs="Times New Roman"/>
        </w:rPr>
        <w:t>Παιδορευματολόγος</w:t>
      </w:r>
      <w:r>
        <w:rPr>
          <w:rFonts w:asciiTheme="majorHAnsi" w:hAnsiTheme="majorHAnsi" w:cs="Times New Roman"/>
        </w:rPr>
        <w:t xml:space="preserve">, </w:t>
      </w:r>
      <w:r w:rsidRPr="002F31CB">
        <w:rPr>
          <w:rFonts w:asciiTheme="majorHAnsi" w:hAnsiTheme="majorHAnsi" w:cs="Times New Roman"/>
        </w:rPr>
        <w:t xml:space="preserve"> </w:t>
      </w:r>
      <w:r w:rsidRPr="00BB41D6">
        <w:rPr>
          <w:bCs/>
          <w:szCs w:val="24"/>
        </w:rPr>
        <w:t>Αν</w:t>
      </w:r>
      <w:r>
        <w:rPr>
          <w:bCs/>
          <w:szCs w:val="24"/>
        </w:rPr>
        <w:t xml:space="preserve">. </w:t>
      </w:r>
      <w:r w:rsidRPr="00BB41D6">
        <w:rPr>
          <w:bCs/>
          <w:szCs w:val="24"/>
        </w:rPr>
        <w:t>καθηγήτρια Παιδιατρικής – Παιδιατρικής Ρευματολογίας Ιατρικής Σχολής του ΑΠΘ</w:t>
      </w:r>
    </w:p>
    <w:p w:rsidR="00BB41D6" w:rsidRPr="00BB41D6" w:rsidRDefault="00BB41D6" w:rsidP="004A47CC">
      <w:pPr>
        <w:spacing w:line="240" w:lineRule="auto"/>
        <w:jc w:val="center"/>
        <w:rPr>
          <w:b/>
          <w:bCs/>
          <w:sz w:val="20"/>
          <w:szCs w:val="28"/>
        </w:rPr>
      </w:pPr>
    </w:p>
    <w:p w:rsidR="00BB41D6" w:rsidRPr="00BB41D6" w:rsidRDefault="00BB41D6" w:rsidP="00BB41D6">
      <w:pPr>
        <w:spacing w:line="240" w:lineRule="auto"/>
        <w:ind w:left="284"/>
        <w:rPr>
          <w:bCs/>
          <w:sz w:val="24"/>
          <w:szCs w:val="24"/>
        </w:rPr>
      </w:pPr>
      <w:r w:rsidRPr="00BB41D6">
        <w:rPr>
          <w:bCs/>
          <w:sz w:val="24"/>
          <w:szCs w:val="24"/>
        </w:rPr>
        <w:t>Παιδιατρικό Ανοσολογικό και Ρευματολογικό Κέντρο Αναφοράς Α΄ Παιδιατρικής Κλινικής του Α.Π.Θ, Ιπποκράτειο Γ. Ν. Θεσσαλονίκης</w:t>
      </w:r>
    </w:p>
    <w:p w:rsidR="004A47CC" w:rsidRPr="00BB41D6" w:rsidRDefault="004A47CC" w:rsidP="004A47CC">
      <w:pPr>
        <w:spacing w:line="240" w:lineRule="auto"/>
        <w:jc w:val="center"/>
        <w:rPr>
          <w:bCs/>
          <w:sz w:val="28"/>
          <w:szCs w:val="28"/>
        </w:rPr>
      </w:pPr>
    </w:p>
    <w:p w:rsidR="00980EB7" w:rsidRDefault="00980EB7" w:rsidP="004A47CC">
      <w:pPr>
        <w:spacing w:line="240" w:lineRule="auto"/>
        <w:jc w:val="center"/>
        <w:rPr>
          <w:b/>
          <w:bCs/>
          <w:sz w:val="28"/>
          <w:szCs w:val="28"/>
        </w:rPr>
      </w:pPr>
    </w:p>
    <w:p w:rsidR="00980EB7" w:rsidRDefault="00980EB7" w:rsidP="004A47CC">
      <w:pPr>
        <w:spacing w:line="240" w:lineRule="auto"/>
        <w:jc w:val="center"/>
        <w:rPr>
          <w:b/>
          <w:bCs/>
          <w:sz w:val="28"/>
          <w:szCs w:val="28"/>
        </w:rPr>
      </w:pPr>
    </w:p>
    <w:p w:rsidR="00BB41D6" w:rsidRDefault="00BB41D6">
      <w:pPr>
        <w:rPr>
          <w:b/>
        </w:rPr>
      </w:pPr>
    </w:p>
    <w:p w:rsidR="00BB41D6" w:rsidRDefault="00BB41D6">
      <w:pPr>
        <w:rPr>
          <w:b/>
        </w:rPr>
      </w:pPr>
      <w:bookmarkStart w:id="0" w:name="_GoBack"/>
      <w:bookmarkEnd w:id="0"/>
    </w:p>
    <w:p w:rsidR="002C4C2B" w:rsidRPr="00F35ED4" w:rsidRDefault="002C4C2B">
      <w:pPr>
        <w:rPr>
          <w:b/>
        </w:rPr>
      </w:pPr>
      <w:r w:rsidRPr="00F35ED4">
        <w:rPr>
          <w:b/>
        </w:rPr>
        <w:lastRenderedPageBreak/>
        <w:t>ΠΕΡΙΛΗΨΗ</w:t>
      </w:r>
    </w:p>
    <w:p w:rsidR="00F35ED4" w:rsidRDefault="00F35ED4" w:rsidP="00F35ED4">
      <w:pPr>
        <w:jc w:val="both"/>
      </w:pPr>
      <w:r w:rsidRPr="00632414">
        <w:t>Τα προτεινόμενα θεραπευτικά σχήματα</w:t>
      </w:r>
      <w:r w:rsidR="00184AFE" w:rsidRPr="00184AFE">
        <w:t>,</w:t>
      </w:r>
      <w:r w:rsidRPr="00632414">
        <w:t xml:space="preserve"> από την «Επιτροπή εμπειρογνωμόνων» του ACR </w:t>
      </w:r>
      <w:r w:rsidRPr="00632414">
        <w:rPr>
          <w:lang w:bidi="en-US"/>
        </w:rPr>
        <w:t>2011</w:t>
      </w:r>
      <w:r w:rsidR="0074033E" w:rsidRPr="0074033E">
        <w:rPr>
          <w:lang w:bidi="en-US"/>
        </w:rPr>
        <w:t>-</w:t>
      </w:r>
      <w:r w:rsidRPr="00632414">
        <w:rPr>
          <w:lang w:bidi="en-US"/>
        </w:rPr>
        <w:t>2013</w:t>
      </w:r>
      <w:r w:rsidRPr="00632414">
        <w:t xml:space="preserve"> </w:t>
      </w:r>
      <w:r w:rsidR="00C82537" w:rsidRPr="00632414">
        <w:t xml:space="preserve">για </w:t>
      </w:r>
      <w:r w:rsidRPr="00632414">
        <w:t>τη NIA</w:t>
      </w:r>
      <w:r w:rsidR="00184AFE" w:rsidRPr="00184AFE">
        <w:t>,</w:t>
      </w:r>
      <w:r w:rsidRPr="00F35ED4">
        <w:t xml:space="preserve"> </w:t>
      </w:r>
      <w:r>
        <w:t>αφορούν</w:t>
      </w:r>
      <w:r w:rsidRPr="00F35ED4">
        <w:t xml:space="preserve"> 5 </w:t>
      </w:r>
      <w:r w:rsidR="00054CBB">
        <w:t>«θεραπευτικές»</w:t>
      </w:r>
      <w:r w:rsidR="00054CBB" w:rsidRPr="00F35ED4">
        <w:t xml:space="preserve"> </w:t>
      </w:r>
      <w:r w:rsidRPr="00F35ED4">
        <w:t>ομάδες ασθεν</w:t>
      </w:r>
      <w:r>
        <w:t>ών (</w:t>
      </w:r>
      <w:r>
        <w:rPr>
          <w:lang w:val="en-US"/>
        </w:rPr>
        <w:t>treatment</w:t>
      </w:r>
      <w:r w:rsidRPr="00F35ED4">
        <w:t xml:space="preserve"> </w:t>
      </w:r>
      <w:r>
        <w:rPr>
          <w:lang w:val="en-US"/>
        </w:rPr>
        <w:t>groups</w:t>
      </w:r>
      <w:r>
        <w:t>)</w:t>
      </w:r>
      <w:r w:rsidR="00632414">
        <w:t>,</w:t>
      </w:r>
      <w:r w:rsidRPr="00F35ED4">
        <w:t xml:space="preserve"> με βάση κυρίως </w:t>
      </w:r>
      <w:r w:rsidRPr="00C82537">
        <w:rPr>
          <w:i/>
        </w:rPr>
        <w:t>τον αριθμό</w:t>
      </w:r>
      <w:r w:rsidRPr="00F35ED4">
        <w:t xml:space="preserve"> </w:t>
      </w:r>
      <w:r w:rsidRPr="00C82537">
        <w:rPr>
          <w:i/>
        </w:rPr>
        <w:t>ή/και</w:t>
      </w:r>
      <w:r w:rsidRPr="00F35ED4">
        <w:rPr>
          <w:b/>
          <w:i/>
        </w:rPr>
        <w:t xml:space="preserve"> </w:t>
      </w:r>
      <w:r w:rsidRPr="00C82537">
        <w:rPr>
          <w:i/>
        </w:rPr>
        <w:t>το είδος</w:t>
      </w:r>
      <w:r w:rsidRPr="000E0D8D">
        <w:t xml:space="preserve"> </w:t>
      </w:r>
      <w:r w:rsidRPr="00632414">
        <w:rPr>
          <w:i/>
        </w:rPr>
        <w:t>των προσβεβλημένων αρθρώσεων</w:t>
      </w:r>
      <w:r w:rsidRPr="00632414">
        <w:rPr>
          <w:color w:val="FF0000"/>
        </w:rPr>
        <w:t>,</w:t>
      </w:r>
      <w:r w:rsidRPr="000E0D8D">
        <w:t xml:space="preserve"> </w:t>
      </w:r>
      <w:r w:rsidRPr="00C82537">
        <w:rPr>
          <w:i/>
        </w:rPr>
        <w:t>την παρουσία ή μη δυσμενών προγνωστικών παραγόντων</w:t>
      </w:r>
      <w:r w:rsidRPr="00F35ED4">
        <w:t xml:space="preserve"> μαζί με τη</w:t>
      </w:r>
      <w:r w:rsidRPr="00F35ED4">
        <w:rPr>
          <w:b/>
          <w:i/>
        </w:rPr>
        <w:t xml:space="preserve"> </w:t>
      </w:r>
      <w:r w:rsidRPr="00C82537">
        <w:rPr>
          <w:i/>
        </w:rPr>
        <w:t>σφαιρική εκτίμηση του ιατρού για τη συνολική δραστηριότητα της νόσου</w:t>
      </w:r>
      <w:r w:rsidRPr="000E0D8D">
        <w:t xml:space="preserve"> (MDVAS global) και </w:t>
      </w:r>
      <w:r w:rsidRPr="00C82537">
        <w:rPr>
          <w:i/>
        </w:rPr>
        <w:t>την παρουσία ή μη συστηματικών εκδηλώσεων</w:t>
      </w:r>
      <w:r w:rsidRPr="0055482D">
        <w:rPr>
          <w:i/>
        </w:rPr>
        <w:t xml:space="preserve">. </w:t>
      </w:r>
      <w:r w:rsidR="000E0D8D" w:rsidRPr="0055482D">
        <w:rPr>
          <w:i/>
        </w:rPr>
        <w:t xml:space="preserve"> </w:t>
      </w:r>
      <w:r w:rsidRPr="0055482D">
        <w:rPr>
          <w:i/>
        </w:rPr>
        <w:t>1</w:t>
      </w:r>
      <w:r w:rsidRPr="0055482D">
        <w:rPr>
          <w:i/>
          <w:vertAlign w:val="superscript"/>
        </w:rPr>
        <w:t>η</w:t>
      </w:r>
      <w:r w:rsidRPr="0055482D">
        <w:rPr>
          <w:i/>
        </w:rPr>
        <w:t xml:space="preserve"> θεραπευτική ομάδα:</w:t>
      </w:r>
      <w:r w:rsidRPr="00F35ED4">
        <w:rPr>
          <w:b/>
          <w:i/>
        </w:rPr>
        <w:t xml:space="preserve"> </w:t>
      </w:r>
      <w:r w:rsidRPr="00F35ED4">
        <w:t>Εντάσσονται  ασθενείς με επίμονη ολιγοαρθρίτιδα, κάποιοι με ψωριασική αρθρίτιδα, κάποιοι με αρθρίτιδα που σχετίζεται με ενθεσίτιδα και ορισμένοι με αταξινόμητη αρθρίτιδα, οι οποίοι, σε όλη τη διάρκεια της νόσου, έχ</w:t>
      </w:r>
      <w:r>
        <w:t xml:space="preserve">ουν προσβολή μέχρι 4 αρθρώσεις. </w:t>
      </w:r>
      <w:r w:rsidRPr="0055482D">
        <w:rPr>
          <w:i/>
        </w:rPr>
        <w:t>2</w:t>
      </w:r>
      <w:r w:rsidRPr="0055482D">
        <w:rPr>
          <w:i/>
          <w:vertAlign w:val="superscript"/>
        </w:rPr>
        <w:t>η</w:t>
      </w:r>
      <w:r w:rsidRPr="0055482D">
        <w:rPr>
          <w:i/>
        </w:rPr>
        <w:t xml:space="preserve"> θεραπευτική ομάδα:</w:t>
      </w:r>
      <w:r w:rsidRPr="00F35ED4">
        <w:rPr>
          <w:b/>
        </w:rPr>
        <w:t xml:space="preserve"> </w:t>
      </w:r>
      <w:r w:rsidRPr="00F35ED4">
        <w:t>Εντάσσονται ασθενείς με πολυαρθρίτιδα (RF θετικοί ή αρνητικοί), κάποιοι με ψωριασική αρθρίτιδα, κάποιοι με αρθρίτιδα που σχετίζεται με ενθεσίτιδα και ορισμένοι με αταξινόμητη αρθρίτιδα, οι οποίοι, σε όλη τη διάρκεια της νόσου, έχουν προσβολή  τουλάχιστον 5 αρθρώσεων</w:t>
      </w:r>
      <w:r w:rsidRPr="0055482D">
        <w:rPr>
          <w:i/>
        </w:rPr>
        <w:t>.  3</w:t>
      </w:r>
      <w:r w:rsidRPr="0055482D">
        <w:rPr>
          <w:i/>
          <w:vertAlign w:val="superscript"/>
        </w:rPr>
        <w:t>η</w:t>
      </w:r>
      <w:r w:rsidRPr="0055482D">
        <w:rPr>
          <w:i/>
        </w:rPr>
        <w:t xml:space="preserve"> θεραπευτική ομάδα:</w:t>
      </w:r>
      <w:r w:rsidRPr="00F35ED4">
        <w:rPr>
          <w:b/>
        </w:rPr>
        <w:t xml:space="preserve"> </w:t>
      </w:r>
      <w:r w:rsidRPr="00F35ED4">
        <w:t xml:space="preserve">Εντάσσονται ασθενείς με κλινικές και απεικονιστικές ενδείξεις ενεργού ιερολαγονίτιδας, όπως οι  ασθενείς με αρθρίτιδα που σχετίζεται με ενθεσίτιδα και  με ψωριασική αρθρίτιδα, </w:t>
      </w:r>
      <w:r w:rsidR="00B119D2">
        <w:t>αλλά και</w:t>
      </w:r>
      <w:r w:rsidRPr="00F35ED4">
        <w:t xml:space="preserve"> ασθενείς με οποιαδήποτε άλλη μορφή της  νόσου και ενεργό  ιερολαγονίτιδα. </w:t>
      </w:r>
      <w:r>
        <w:t xml:space="preserve">Αναφέρεται σχηματικά  </w:t>
      </w:r>
      <w:r w:rsidRPr="00F35ED4">
        <w:t>η όλη στρατηγική της θεραπείας</w:t>
      </w:r>
      <w:r>
        <w:t xml:space="preserve"> για τις τρεις πρώτες θεραπευτικές ομάδες. </w:t>
      </w:r>
      <w:r w:rsidRPr="00F35ED4">
        <w:t>Η στρατηγική της θεραπείας των ασθενών που ανήκουν στην 4</w:t>
      </w:r>
      <w:r w:rsidRPr="00F35ED4">
        <w:rPr>
          <w:vertAlign w:val="superscript"/>
        </w:rPr>
        <w:t>η</w:t>
      </w:r>
      <w:r w:rsidRPr="00F35ED4">
        <w:t xml:space="preserve"> και 5</w:t>
      </w:r>
      <w:r w:rsidRPr="00F35ED4">
        <w:rPr>
          <w:vertAlign w:val="superscript"/>
        </w:rPr>
        <w:t>η</w:t>
      </w:r>
      <w:r w:rsidRPr="00F35ED4">
        <w:t xml:space="preserve"> ομάδα είναι πιο πολύπλοκη και βασίζεται </w:t>
      </w:r>
      <w:r w:rsidRPr="00184AFE">
        <w:rPr>
          <w:i/>
        </w:rPr>
        <w:t>στον αριθμό των προσβεβλημένων αρθρώσεων</w:t>
      </w:r>
      <w:r w:rsidRPr="00F35ED4">
        <w:t xml:space="preserve">, ( 0=απουσία αρθρίτιδας, ≤4 = ολιγοαρθρίτιδα, &gt;4 = πολυαρθρίτιδα), </w:t>
      </w:r>
      <w:r w:rsidRPr="00184AFE">
        <w:rPr>
          <w:i/>
        </w:rPr>
        <w:t>στο επίπεδο δραστηριότητας της νόσου</w:t>
      </w:r>
      <w:r w:rsidRPr="00F35ED4">
        <w:t xml:space="preserve"> (MDVAS global </w:t>
      </w:r>
      <w:r w:rsidR="002F5F39">
        <w:t>&lt;</w:t>
      </w:r>
      <w:r w:rsidRPr="00F35ED4">
        <w:t xml:space="preserve">5 ή ≥5) και στην </w:t>
      </w:r>
      <w:r w:rsidRPr="00184AFE">
        <w:rPr>
          <w:i/>
        </w:rPr>
        <w:t>παρουσία ή απουσία συστηματικών εκδηλώσεων</w:t>
      </w:r>
      <w:r w:rsidRPr="00F35ED4">
        <w:t xml:space="preserve">. </w:t>
      </w:r>
      <w:r w:rsidR="00B119D2">
        <w:t xml:space="preserve">Έτσι, </w:t>
      </w:r>
      <w:r w:rsidRPr="00F35ED4">
        <w:t xml:space="preserve"> οι «θεραπευτικές ομάδες» της συστηματικής ΝΙΑ διακρίνονται σε </w:t>
      </w:r>
      <w:r w:rsidRPr="002F5F39">
        <w:rPr>
          <w:i/>
        </w:rPr>
        <w:t xml:space="preserve">«συστηματική ΝΙΑ με ενεργείς συστηματικές εκδηλώσεις και διαφόρου βαθμού ενεργό αρθρίτιδα </w:t>
      </w:r>
      <w:r w:rsidR="002876B3" w:rsidRPr="002F5F39">
        <w:rPr>
          <w:i/>
        </w:rPr>
        <w:t xml:space="preserve"> (4</w:t>
      </w:r>
      <w:r w:rsidR="002876B3" w:rsidRPr="002F5F39">
        <w:rPr>
          <w:i/>
          <w:vertAlign w:val="superscript"/>
        </w:rPr>
        <w:t>η</w:t>
      </w:r>
      <w:r w:rsidR="002876B3" w:rsidRPr="002F5F39">
        <w:rPr>
          <w:i/>
        </w:rPr>
        <w:t xml:space="preserve"> ομάδα)</w:t>
      </w:r>
      <w:r w:rsidR="002876B3">
        <w:t xml:space="preserve"> </w:t>
      </w:r>
      <w:r w:rsidRPr="00F35ED4">
        <w:t xml:space="preserve"> και σε </w:t>
      </w:r>
      <w:r w:rsidRPr="002F5F39">
        <w:rPr>
          <w:i/>
        </w:rPr>
        <w:t>«συστηματική ΝΙΑ χωρίς συστηματικές εκδηλώσεις</w:t>
      </w:r>
      <w:r w:rsidRPr="002F5F39">
        <w:rPr>
          <w:b/>
          <w:i/>
        </w:rPr>
        <w:t xml:space="preserve"> </w:t>
      </w:r>
      <w:r w:rsidRPr="002F5F39">
        <w:rPr>
          <w:i/>
        </w:rPr>
        <w:t>αλλά με διαφόρου βαθμού ενεργό αρθρίτιδα</w:t>
      </w:r>
      <w:r w:rsidR="002876B3" w:rsidRPr="002F5F39">
        <w:rPr>
          <w:i/>
        </w:rPr>
        <w:t xml:space="preserve"> (5</w:t>
      </w:r>
      <w:r w:rsidR="002876B3" w:rsidRPr="002F5F39">
        <w:rPr>
          <w:i/>
          <w:vertAlign w:val="superscript"/>
        </w:rPr>
        <w:t>η</w:t>
      </w:r>
      <w:r w:rsidR="00650FC3">
        <w:rPr>
          <w:i/>
        </w:rPr>
        <w:t xml:space="preserve"> ομάδα)</w:t>
      </w:r>
      <w:r w:rsidRPr="0055482D">
        <w:rPr>
          <w:i/>
        </w:rPr>
        <w:t>.</w:t>
      </w:r>
      <w:r w:rsidR="00650FC3">
        <w:rPr>
          <w:i/>
        </w:rPr>
        <w:t xml:space="preserve"> </w:t>
      </w:r>
      <w:r w:rsidR="00012753">
        <w:t xml:space="preserve">Ειδικότερα, στην </w:t>
      </w:r>
      <w:r w:rsidRPr="0055482D">
        <w:rPr>
          <w:i/>
        </w:rPr>
        <w:t xml:space="preserve"> 4</w:t>
      </w:r>
      <w:r w:rsidRPr="0055482D">
        <w:rPr>
          <w:i/>
          <w:vertAlign w:val="superscript"/>
        </w:rPr>
        <w:t>η</w:t>
      </w:r>
      <w:r w:rsidRPr="0055482D">
        <w:rPr>
          <w:i/>
        </w:rPr>
        <w:t xml:space="preserve"> θεραπευτική ομάδα:</w:t>
      </w:r>
      <w:r w:rsidRPr="00507884">
        <w:rPr>
          <w:b/>
        </w:rPr>
        <w:t xml:space="preserve"> </w:t>
      </w:r>
      <w:r w:rsidR="00B119D2">
        <w:t>Α</w:t>
      </w:r>
      <w:r w:rsidRPr="00F35ED4">
        <w:t xml:space="preserve">ρχίζουμε με ΚΣ μαζί </w:t>
      </w:r>
      <w:r w:rsidR="0055482D">
        <w:t xml:space="preserve">με </w:t>
      </w:r>
      <w:r w:rsidRPr="00F35ED4">
        <w:t xml:space="preserve">ή χωρίς ΜΣΑΦ και αν δεν απαντήσει ο ασθενής μετά από 2 εβδομάδες χορηγούμε συνθετικά ή βιολογικά </w:t>
      </w:r>
      <w:r w:rsidRPr="00F35ED4">
        <w:rPr>
          <w:lang w:val="en-US"/>
        </w:rPr>
        <w:t>DMARDs</w:t>
      </w:r>
      <w:r w:rsidRPr="00F35ED4">
        <w:t xml:space="preserve">  με βάση τα προαναφερθέντα κριτήρια (π.χ. εάν προέχουν οι συστηματικές εκδηλώσεις χορηγούνται </w:t>
      </w:r>
      <w:r w:rsidRPr="00F35ED4">
        <w:rPr>
          <w:lang w:val="en-US"/>
        </w:rPr>
        <w:t>anti</w:t>
      </w:r>
      <w:r w:rsidRPr="00F35ED4">
        <w:t>-</w:t>
      </w:r>
      <w:r w:rsidRPr="00F35ED4">
        <w:rPr>
          <w:lang w:val="en-US"/>
        </w:rPr>
        <w:t>IL</w:t>
      </w:r>
      <w:r w:rsidRPr="00F35ED4">
        <w:t xml:space="preserve">-1 ή  </w:t>
      </w:r>
      <w:r w:rsidRPr="00F35ED4">
        <w:rPr>
          <w:lang w:val="en-US"/>
        </w:rPr>
        <w:t>anti</w:t>
      </w:r>
      <w:r w:rsidRPr="00F35ED4">
        <w:t xml:space="preserve">- </w:t>
      </w:r>
      <w:r w:rsidRPr="00F35ED4">
        <w:rPr>
          <w:lang w:val="en-US"/>
        </w:rPr>
        <w:t>IL</w:t>
      </w:r>
      <w:r w:rsidRPr="00F35ED4">
        <w:t xml:space="preserve">-6 ενώ εάν προέχει η πολυαρθρίτιδα χορηγούνται συνθετικά </w:t>
      </w:r>
      <w:r w:rsidRPr="00F35ED4">
        <w:rPr>
          <w:lang w:val="en-US"/>
        </w:rPr>
        <w:t>DMARDs</w:t>
      </w:r>
      <w:r w:rsidRPr="00F35ED4">
        <w:t xml:space="preserve"> και  στη συνέχεια </w:t>
      </w:r>
      <w:r w:rsidRPr="00F35ED4">
        <w:rPr>
          <w:lang w:val="en-US"/>
        </w:rPr>
        <w:t>anti</w:t>
      </w:r>
      <w:r w:rsidRPr="00F35ED4">
        <w:t>-</w:t>
      </w:r>
      <w:r w:rsidRPr="00F35ED4">
        <w:rPr>
          <w:lang w:val="en-US"/>
        </w:rPr>
        <w:t>TNF</w:t>
      </w:r>
      <w:r w:rsidRPr="00F35ED4">
        <w:t xml:space="preserve"> παράγοντες). Η πορεία του ασθενούς θα καθορίσει τη συνέχεια της θεραπείας</w:t>
      </w:r>
      <w:r w:rsidRPr="0055482D">
        <w:rPr>
          <w:i/>
        </w:rPr>
        <w:t>.</w:t>
      </w:r>
      <w:r w:rsidR="00507884" w:rsidRPr="0055482D">
        <w:rPr>
          <w:i/>
        </w:rPr>
        <w:t xml:space="preserve"> </w:t>
      </w:r>
      <w:r w:rsidR="00012753" w:rsidRPr="00012753">
        <w:t>Σ</w:t>
      </w:r>
      <w:r w:rsidR="00012753">
        <w:t xml:space="preserve">την </w:t>
      </w:r>
      <w:r w:rsidRPr="00012753">
        <w:rPr>
          <w:i/>
        </w:rPr>
        <w:t>5</w:t>
      </w:r>
      <w:r w:rsidRPr="00012753">
        <w:rPr>
          <w:i/>
          <w:vertAlign w:val="superscript"/>
        </w:rPr>
        <w:t xml:space="preserve">η </w:t>
      </w:r>
      <w:r w:rsidRPr="0055482D">
        <w:rPr>
          <w:i/>
        </w:rPr>
        <w:t>θεραπευτική ομάδα:</w:t>
      </w:r>
      <w:r w:rsidRPr="00507884">
        <w:rPr>
          <w:b/>
        </w:rPr>
        <w:t xml:space="preserve"> </w:t>
      </w:r>
      <w:r w:rsidR="00B119D2">
        <w:t>Α</w:t>
      </w:r>
      <w:r w:rsidRPr="00F35ED4">
        <w:t xml:space="preserve">ρχίζουμε με ΜΣΑΦ και ΚΣ ενδοαρθρικά και αν δεν απαντήσει ο ασθενής μετά από ένα μήνα χορηγούμε συνθετικά και βιολογικά </w:t>
      </w:r>
      <w:r w:rsidRPr="00F35ED4">
        <w:rPr>
          <w:lang w:val="en-US"/>
        </w:rPr>
        <w:t>DMARDs</w:t>
      </w:r>
      <w:r w:rsidRPr="00F35ED4">
        <w:t xml:space="preserve">  με βάση τον αριθμό των προσβεβλημένων αρθρώσεων: 1-4</w:t>
      </w:r>
      <w:r w:rsidR="00012753">
        <w:t xml:space="preserve"> ή </w:t>
      </w:r>
      <w:r w:rsidRPr="00F35ED4">
        <w:t xml:space="preserve"> &gt;4.</w:t>
      </w:r>
      <w:r w:rsidR="00012753">
        <w:t xml:space="preserve"> </w:t>
      </w:r>
      <w:r w:rsidR="00980EB7">
        <w:t>‘</w:t>
      </w:r>
      <w:r w:rsidR="00650FC3">
        <w:t>Έ</w:t>
      </w:r>
      <w:r w:rsidRPr="00F35ED4">
        <w:t>τσι</w:t>
      </w:r>
      <w:r w:rsidR="00012753">
        <w:t>,</w:t>
      </w:r>
      <w:r w:rsidRPr="00F35ED4">
        <w:t xml:space="preserve"> </w:t>
      </w:r>
      <w:r w:rsidR="00B119D2">
        <w:t>σε</w:t>
      </w:r>
      <w:r w:rsidRPr="00F35ED4">
        <w:t xml:space="preserve"> </w:t>
      </w:r>
      <w:r w:rsidR="00B7645D">
        <w:t xml:space="preserve">ΣΝΙΑ με </w:t>
      </w:r>
      <w:r w:rsidRPr="00F35ED4">
        <w:t>ολιγοαρθρίτιδα</w:t>
      </w:r>
      <w:r w:rsidR="00012753">
        <w:t xml:space="preserve"> </w:t>
      </w:r>
      <w:r w:rsidRPr="00F35ED4">
        <w:t xml:space="preserve"> χορηγούνται συνθετικά </w:t>
      </w:r>
      <w:r w:rsidRPr="00F35ED4">
        <w:rPr>
          <w:lang w:val="en-US"/>
        </w:rPr>
        <w:t>DMARDs</w:t>
      </w:r>
      <w:r w:rsidRPr="00F35ED4">
        <w:t xml:space="preserve">  και εάν δεν απαντήσει ο ασθενής μετά από 3 μήνες</w:t>
      </w:r>
      <w:r w:rsidR="00012753">
        <w:t>,</w:t>
      </w:r>
      <w:r w:rsidRPr="00F35ED4">
        <w:t xml:space="preserve"> χορηγούνται  βιολογικοί παράγοντες</w:t>
      </w:r>
      <w:r w:rsidR="000113FE" w:rsidRPr="000113FE">
        <w:t>,</w:t>
      </w:r>
      <w:r w:rsidR="00B119D2">
        <w:t xml:space="preserve"> ενώ σε</w:t>
      </w:r>
      <w:r w:rsidRPr="00F35ED4">
        <w:t xml:space="preserve"> </w:t>
      </w:r>
      <w:r w:rsidR="00B7645D">
        <w:t xml:space="preserve">ΣΝΙΑ με </w:t>
      </w:r>
      <w:r w:rsidRPr="00F35ED4">
        <w:t xml:space="preserve">πολυαρθρίτιδα </w:t>
      </w:r>
      <w:r w:rsidR="000113FE" w:rsidRPr="00F35ED4">
        <w:t xml:space="preserve">χορηγούνται </w:t>
      </w:r>
      <w:r w:rsidRPr="00F35ED4">
        <w:t>κ</w:t>
      </w:r>
      <w:r w:rsidR="00650FC3">
        <w:t>ατευθείαν βιολογικοί παράγοντες</w:t>
      </w:r>
      <w:r w:rsidR="00012753">
        <w:t>.</w:t>
      </w:r>
      <w:r w:rsidRPr="00F35ED4">
        <w:t xml:space="preserve">  Η πορεία του ασθενούς θα καθορίσει τη συνέχεια της θεραπείας.</w:t>
      </w:r>
    </w:p>
    <w:p w:rsidR="002C4C2B" w:rsidRDefault="00F35ED4" w:rsidP="008019DA">
      <w:pPr>
        <w:jc w:val="both"/>
      </w:pPr>
      <w:r w:rsidRPr="00F35ED4">
        <w:br w:type="page"/>
      </w:r>
    </w:p>
    <w:p w:rsidR="002C4C2B" w:rsidRPr="00D974AB" w:rsidRDefault="0003174F" w:rsidP="00A067A2">
      <w:pPr>
        <w:jc w:val="both"/>
        <w:rPr>
          <w:b/>
        </w:rPr>
      </w:pPr>
      <w:r>
        <w:rPr>
          <w:b/>
        </w:rPr>
        <w:t xml:space="preserve">1. </w:t>
      </w:r>
      <w:r w:rsidR="005D5A58">
        <w:rPr>
          <w:b/>
        </w:rPr>
        <w:t>ΕΙΣΑΓΩΓΗ</w:t>
      </w:r>
    </w:p>
    <w:p w:rsidR="00D974AB" w:rsidRPr="00D974AB" w:rsidRDefault="00D974AB" w:rsidP="00A067A2">
      <w:pPr>
        <w:jc w:val="both"/>
      </w:pPr>
      <w:r w:rsidRPr="00D974AB">
        <w:rPr>
          <w:lang w:bidi="en-US"/>
        </w:rPr>
        <w:t>O</w:t>
      </w:r>
      <w:r w:rsidRPr="00D974AB">
        <w:t xml:space="preserve"> όρος “Νεανική Ιδιοπαθής Αρθρίτιδα, ΝΙΑ” (πρώην “νεανική χρόνια αρθρίτιδα” ή “νεανική ρευματοειδής αρθρίτιδα” κατά τους Αμερικανούς), σύμφωνα με τα αναθεωρημένα κριτήρια της </w:t>
      </w:r>
      <w:r w:rsidRPr="00D974AB">
        <w:rPr>
          <w:lang w:bidi="en-US"/>
        </w:rPr>
        <w:t>ILAR</w:t>
      </w:r>
      <w:r w:rsidRPr="00D974AB">
        <w:t xml:space="preserve"> (</w:t>
      </w:r>
      <w:r w:rsidRPr="00D974AB">
        <w:rPr>
          <w:lang w:bidi="en-US"/>
        </w:rPr>
        <w:t>Edmonton</w:t>
      </w:r>
      <w:r w:rsidRPr="00D974AB">
        <w:t xml:space="preserve"> 2001) αναφέρεται σε </w:t>
      </w:r>
      <w:r w:rsidRPr="00D974AB">
        <w:rPr>
          <w:i/>
        </w:rPr>
        <w:t>κάθε αρθρίτιδα άγνωστης αιτιολογίας (ιδιοπαθής) που προσβάλλει παιδιά ηλικίας κάτω των 16 ετών και επιμένει τουλάχιστον για 6 εβδομάδες. Η διάγνωση τίθεται αφού αποκλεισθούν άλλες γνωστές καταστάσεις που μπορεί να εκδηλωθούν με αυτά τα χαρακτηριστικά.</w:t>
      </w:r>
    </w:p>
    <w:p w:rsidR="00D974AB" w:rsidRPr="007809C8" w:rsidRDefault="00D974AB" w:rsidP="00A067A2">
      <w:pPr>
        <w:jc w:val="both"/>
      </w:pPr>
      <w:r w:rsidRPr="007809C8">
        <w:t xml:space="preserve">Τα αναθεωρημένα διεθνή κριτήρια για την κατάταξη ενός ασθενούς στην ομάδα της ΝΙΑ είναι: </w:t>
      </w:r>
    </w:p>
    <w:p w:rsidR="00D974AB" w:rsidRPr="007809C8" w:rsidRDefault="00D974AB" w:rsidP="00A067A2">
      <w:pPr>
        <w:tabs>
          <w:tab w:val="left" w:pos="284"/>
        </w:tabs>
        <w:jc w:val="both"/>
      </w:pPr>
      <w:r w:rsidRPr="007809C8">
        <w:t xml:space="preserve">1. </w:t>
      </w:r>
      <w:r w:rsidRPr="007809C8">
        <w:tab/>
        <w:t>Η αρθρίτιδα να έχει διάρκεια τουλάχιστον 6 εβδομάδες.</w:t>
      </w:r>
    </w:p>
    <w:p w:rsidR="00D974AB" w:rsidRPr="007809C8" w:rsidRDefault="00D974AB" w:rsidP="00A067A2">
      <w:pPr>
        <w:tabs>
          <w:tab w:val="left" w:pos="284"/>
        </w:tabs>
        <w:jc w:val="both"/>
      </w:pPr>
      <w:r w:rsidRPr="007809C8">
        <w:t xml:space="preserve">2. </w:t>
      </w:r>
      <w:r w:rsidRPr="007809C8">
        <w:tab/>
        <w:t>Να αρχίζει πριν από την ηλικία των 16 ετών.</w:t>
      </w:r>
    </w:p>
    <w:p w:rsidR="00D974AB" w:rsidRPr="007809C8" w:rsidRDefault="00D974AB" w:rsidP="00A067A2">
      <w:pPr>
        <w:tabs>
          <w:tab w:val="left" w:pos="284"/>
        </w:tabs>
        <w:jc w:val="both"/>
      </w:pPr>
      <w:r w:rsidRPr="007809C8">
        <w:t xml:space="preserve">3. </w:t>
      </w:r>
      <w:r w:rsidRPr="007809C8">
        <w:tab/>
        <w:t>Να μην αποδίδεται σε άλλη αιτία/νόσο που είναι δυνατό να προβάλλει κλινικά ως χρόνια αρθρίτιδα</w:t>
      </w:r>
      <w:r w:rsidR="00BA70B1">
        <w:t>.</w:t>
      </w:r>
      <w:r w:rsidRPr="007809C8">
        <w:t xml:space="preserve"> </w:t>
      </w:r>
    </w:p>
    <w:p w:rsidR="00D974AB" w:rsidRPr="007809C8" w:rsidRDefault="00D974AB" w:rsidP="00A067A2">
      <w:pPr>
        <w:tabs>
          <w:tab w:val="left" w:pos="284"/>
        </w:tabs>
        <w:jc w:val="both"/>
      </w:pPr>
      <w:r w:rsidRPr="007809C8">
        <w:t>4.</w:t>
      </w:r>
      <w:r w:rsidRPr="007809C8">
        <w:tab/>
        <w:t xml:space="preserve">Να μπορεί να ταξινομηθεί 6 μήνες μετά από την έναρξή της σε μια από τις ομάδες που αναφέρονται στον </w:t>
      </w:r>
      <w:r w:rsidR="001A1911" w:rsidRPr="001A1911">
        <w:t>Πίνακα</w:t>
      </w:r>
      <w:r w:rsidRPr="001A1911">
        <w:t xml:space="preserve"> </w:t>
      </w:r>
      <w:r w:rsidR="004E2F3D" w:rsidRPr="001A1911">
        <w:t>1</w:t>
      </w:r>
      <w:r w:rsidRPr="007809C8">
        <w:rPr>
          <w:color w:val="FF0000"/>
        </w:rPr>
        <w:t xml:space="preserve"> </w:t>
      </w:r>
      <w:r w:rsidRPr="007809C8">
        <w:t xml:space="preserve">π.χ. </w:t>
      </w:r>
      <w:r w:rsidRPr="007809C8">
        <w:rPr>
          <w:i/>
        </w:rPr>
        <w:t>Συστηματική</w:t>
      </w:r>
      <w:r w:rsidRPr="007809C8">
        <w:t xml:space="preserve"> (η αρθρίτιδα να συνοδεύεται από συστηματικές εκδηλώσεις) ή </w:t>
      </w:r>
      <w:r w:rsidRPr="007809C8">
        <w:rPr>
          <w:i/>
          <w:lang w:bidi="en-US"/>
        </w:rPr>
        <w:t>O</w:t>
      </w:r>
      <w:r w:rsidRPr="007809C8">
        <w:rPr>
          <w:i/>
        </w:rPr>
        <w:t>λιγοαρθρίτιδα</w:t>
      </w:r>
      <w:r w:rsidRPr="007809C8">
        <w:t xml:space="preserve"> (προσβολή 1-4 αρθρώσεων) ή </w:t>
      </w:r>
      <w:r w:rsidRPr="007809C8">
        <w:rPr>
          <w:i/>
        </w:rPr>
        <w:t>Πολυαρθρίτιδα</w:t>
      </w:r>
      <w:r w:rsidRPr="007809C8">
        <w:t xml:space="preserve"> (προσβολή ≥ 5 μέχρι όλων των αρθρώσεων) κ.ο.κ.</w:t>
      </w:r>
      <w:r w:rsidR="000113FE" w:rsidRPr="000113FE">
        <w:t xml:space="preserve"> </w:t>
      </w:r>
      <w:r w:rsidRPr="007809C8">
        <w:t xml:space="preserve">Στο διάστημα που μεσολαβεί από τις 6 εβδομάδες μέχρι τους 6 μήνες, η νεανική ιδιοπαθής αρθρίτιδα παραμένει αταξινόμητη. </w:t>
      </w:r>
    </w:p>
    <w:p w:rsidR="00074AF6" w:rsidRPr="00B7645D" w:rsidRDefault="00D974AB" w:rsidP="00A067A2">
      <w:pPr>
        <w:jc w:val="both"/>
        <w:rPr>
          <w:color w:val="FF0000"/>
        </w:rPr>
      </w:pPr>
      <w:r w:rsidRPr="007809C8">
        <w:t xml:space="preserve">Τα κριτήρια αυτά, όπως γίνεται αντιληπτό, είναι κλινικά και η διάγνωση της ΝΙΑ είναι </w:t>
      </w:r>
      <w:r w:rsidRPr="007809C8">
        <w:rPr>
          <w:i/>
        </w:rPr>
        <w:t>διάγνωση “εξ αποκλεισμού”</w:t>
      </w:r>
      <w:r w:rsidRPr="007809C8">
        <w:t xml:space="preserve"> άλλων σχετικών καταστάσεων. </w:t>
      </w:r>
      <w:r w:rsidR="00BA70B1" w:rsidRPr="007809C8">
        <w:t>Σύμφωνα με τα κριτήρια</w:t>
      </w:r>
      <w:r w:rsidR="00BA70B1" w:rsidRPr="000A397E">
        <w:t xml:space="preserve"> </w:t>
      </w:r>
      <w:r w:rsidR="00BA70B1" w:rsidRPr="007809C8">
        <w:t xml:space="preserve">αυτά, οι ασθενείς με ΝΙΑ κατατάσσονται σε 7 ομάδες </w:t>
      </w:r>
      <w:r w:rsidR="00BA70B1" w:rsidRPr="001A1911">
        <w:t>(</w:t>
      </w:r>
      <w:r w:rsidR="001A1911">
        <w:t>Π</w:t>
      </w:r>
      <w:r w:rsidR="00BA70B1" w:rsidRPr="001A1911">
        <w:t>ίν.  1)</w:t>
      </w:r>
      <w:r w:rsidR="00074AF6" w:rsidRPr="009062FD">
        <w:rPr>
          <w:vertAlign w:val="superscript"/>
        </w:rPr>
        <w:t>1,2</w:t>
      </w:r>
      <w:r w:rsidR="00BA70B1" w:rsidRPr="009062FD">
        <w:t>.</w:t>
      </w:r>
      <w:r w:rsidR="00670E71">
        <w:rPr>
          <w:color w:val="FF0000"/>
        </w:rPr>
        <w:t xml:space="preserve"> </w:t>
      </w:r>
    </w:p>
    <w:p w:rsidR="00D974AB" w:rsidRPr="000113FE" w:rsidRDefault="00D974AB" w:rsidP="00A067A2">
      <w:pPr>
        <w:jc w:val="both"/>
        <w:rPr>
          <w:color w:val="FF0000"/>
        </w:rPr>
      </w:pPr>
      <w:r w:rsidRPr="0004408B">
        <w:rPr>
          <w:b/>
        </w:rPr>
        <w:t>Συχνότητα – Ηλικία</w:t>
      </w:r>
      <w:r w:rsidRPr="007809C8">
        <w:t xml:space="preserve">. Η ΝΙΑ είναι το ρευματικό νόσημα που καλύπτει το 80% περίπου της παιδορευματολογικής πράξης. Η συχνότητά της ποικίλλει από χώρα σε χώρα, κυμαινόμενη από 2-19,5/100.000 κατοίκους/έτος. Προσβάλλει όλες τις ηλικίες των παιδιών από τη βρεφική (πριν τα πρώτα γενέθλια) μέχρι την εφηβική (≤16 ετών), συχνότερα τα κορίτσια στις περισσότερες μορφές </w:t>
      </w:r>
      <w:r w:rsidR="008372E0" w:rsidRPr="009062FD">
        <w:t xml:space="preserve">της </w:t>
      </w:r>
      <w:r w:rsidR="00D108CB" w:rsidRPr="009062FD">
        <w:rPr>
          <w:vertAlign w:val="superscript"/>
        </w:rPr>
        <w:t>3</w:t>
      </w:r>
      <w:r w:rsidRPr="009062FD">
        <w:t>.</w:t>
      </w:r>
    </w:p>
    <w:p w:rsidR="00D974AB" w:rsidRPr="00F96037" w:rsidRDefault="00D974AB" w:rsidP="00A067A2">
      <w:pPr>
        <w:jc w:val="both"/>
        <w:rPr>
          <w:color w:val="FF0000"/>
        </w:rPr>
      </w:pPr>
      <w:r w:rsidRPr="0004408B">
        <w:rPr>
          <w:b/>
        </w:rPr>
        <w:t>Αιτιοπαθογένε</w:t>
      </w:r>
      <w:r w:rsidR="00F96037">
        <w:rPr>
          <w:b/>
        </w:rPr>
        <w:t>ια</w:t>
      </w:r>
      <w:r w:rsidRPr="00F04CF5">
        <w:t xml:space="preserve">. Σε μια τόσο ετερογενή ομάδα χρόνιων αρθριτίδων λογικό είναι να περιμένει κανείς ετερογενή ή πολυπαραγοντική αιτιοπαθογένεση. Έτσι, το γενετικό υπόστρωμα που σχετίζεται με την παρουσία ορισμένων </w:t>
      </w:r>
      <w:r w:rsidRPr="00F04CF5">
        <w:rPr>
          <w:lang w:bidi="en-US"/>
        </w:rPr>
        <w:t>HLA</w:t>
      </w:r>
      <w:r w:rsidRPr="00F04CF5">
        <w:t xml:space="preserve"> αντιγόνων ή απλοτύπων και διάφοροι εξωγενείς/περιβαλλοντικοί</w:t>
      </w:r>
      <w:r w:rsidR="00F04CF5" w:rsidRPr="00F04CF5">
        <w:t xml:space="preserve"> </w:t>
      </w:r>
      <w:r w:rsidR="00F04CF5">
        <w:t xml:space="preserve"> (</w:t>
      </w:r>
      <w:r w:rsidRPr="00F04CF5">
        <w:t xml:space="preserve">κυρίως λοιμογόνοι) παράγοντες π.χ. ιοί ή τα προϊόντα τους </w:t>
      </w:r>
      <w:r w:rsidR="00F96037" w:rsidRPr="00F04CF5">
        <w:t xml:space="preserve">(ιός γρίπης, παρβοϊός Β19, ιός ερυθράς, ιός </w:t>
      </w:r>
      <w:r w:rsidR="00F96037" w:rsidRPr="00F04CF5">
        <w:rPr>
          <w:lang w:bidi="en-US"/>
        </w:rPr>
        <w:t>Coxsackie</w:t>
      </w:r>
      <w:r w:rsidR="00F96037" w:rsidRPr="00F96037">
        <w:rPr>
          <w:lang w:bidi="en-US"/>
        </w:rPr>
        <w:t xml:space="preserve">) </w:t>
      </w:r>
      <w:r w:rsidR="00F96037" w:rsidRPr="00F04CF5">
        <w:t>,</w:t>
      </w:r>
      <w:r w:rsidR="00F96037">
        <w:t>μυκοβακτηρίδια</w:t>
      </w:r>
      <w:r w:rsidR="00F96037" w:rsidRPr="00F96037">
        <w:t xml:space="preserve"> (</w:t>
      </w:r>
      <w:r w:rsidRPr="00F04CF5">
        <w:t>μ</w:t>
      </w:r>
      <w:r w:rsidR="00F96037" w:rsidRPr="00F96037">
        <w:t>.</w:t>
      </w:r>
      <w:r w:rsidRPr="00F04CF5">
        <w:t xml:space="preserve"> της φυματίωσης), ενοχοποιήθηκαν κατά καιρούς ως διεγερτικοί μηχανισμοί της χρόνιας αρθρικής φλεγμονής. Για τις απόψεις αυτές καμία μελέτη δεν έδωσε αποδεικτικά στοιχεία. Άλλες μελέτες ενοχοποίησαν για την έναρξη της φλεγμονής ενδογενείς παράγοντες (</w:t>
      </w:r>
      <w:r w:rsidRPr="00F04CF5">
        <w:rPr>
          <w:lang w:bidi="en-US"/>
        </w:rPr>
        <w:t>DAMPs</w:t>
      </w:r>
      <w:r w:rsidRPr="00F04CF5">
        <w:t xml:space="preserve">), όπως π.χ. τις πρωτεΐνες της </w:t>
      </w:r>
      <w:r w:rsidRPr="009062FD">
        <w:t>θερμοπληξίας (</w:t>
      </w:r>
      <w:r w:rsidRPr="009062FD">
        <w:rPr>
          <w:lang w:bidi="en-US"/>
        </w:rPr>
        <w:t>heat</w:t>
      </w:r>
      <w:r w:rsidRPr="009062FD">
        <w:t xml:space="preserve"> </w:t>
      </w:r>
      <w:r w:rsidRPr="009062FD">
        <w:rPr>
          <w:lang w:bidi="en-US"/>
        </w:rPr>
        <w:t>shock</w:t>
      </w:r>
      <w:r w:rsidRPr="009062FD">
        <w:t xml:space="preserve"> </w:t>
      </w:r>
      <w:r w:rsidRPr="009062FD">
        <w:rPr>
          <w:lang w:bidi="en-US"/>
        </w:rPr>
        <w:t>proteins</w:t>
      </w:r>
      <w:r w:rsidRPr="009062FD">
        <w:t>)</w:t>
      </w:r>
      <w:r w:rsidR="00D108CB" w:rsidRPr="009062FD">
        <w:rPr>
          <w:vertAlign w:val="superscript"/>
        </w:rPr>
        <w:t>4</w:t>
      </w:r>
      <w:r w:rsidRPr="009062FD">
        <w:t>. Τέλος</w:t>
      </w:r>
      <w:r w:rsidRPr="00F04CF5">
        <w:t xml:space="preserve">, πρόσφατα, το ενδιαφέρον επικεντρώθηκε στη διαταραχή της ισορροπίας των υποπληθυσμών των </w:t>
      </w:r>
      <w:r w:rsidRPr="00F04CF5">
        <w:rPr>
          <w:lang w:bidi="en-US"/>
        </w:rPr>
        <w:t>CD</w:t>
      </w:r>
      <w:r w:rsidRPr="00F04CF5">
        <w:t xml:space="preserve">4+ Τ κυττάρων </w:t>
      </w:r>
      <w:r w:rsidRPr="00F04CF5">
        <w:rPr>
          <w:lang w:bidi="en-US"/>
        </w:rPr>
        <w:t>Treg</w:t>
      </w:r>
      <w:r w:rsidRPr="00F04CF5">
        <w:t xml:space="preserve"> και </w:t>
      </w:r>
      <w:r w:rsidRPr="00F04CF5">
        <w:rPr>
          <w:lang w:bidi="en-US"/>
        </w:rPr>
        <w:t>Th</w:t>
      </w:r>
      <w:r w:rsidRPr="00F04CF5">
        <w:t xml:space="preserve">17 (ελάττωση των </w:t>
      </w:r>
      <w:r w:rsidRPr="00F04CF5">
        <w:rPr>
          <w:lang w:bidi="en-US"/>
        </w:rPr>
        <w:t>Treg</w:t>
      </w:r>
      <w:r w:rsidRPr="00F04CF5">
        <w:t xml:space="preserve"> και αύξηση των </w:t>
      </w:r>
      <w:r w:rsidRPr="00F04CF5">
        <w:rPr>
          <w:lang w:bidi="en-US"/>
        </w:rPr>
        <w:t>Th</w:t>
      </w:r>
      <w:r w:rsidRPr="00F04CF5">
        <w:t>17) με αποτέλεσμα την υπερέκκριση φλεγμονογόνων κυτταροκινών και μετα</w:t>
      </w:r>
      <w:r w:rsidR="006E27D5">
        <w:t>λ</w:t>
      </w:r>
      <w:r w:rsidRPr="00F04CF5">
        <w:t>λοπρωτε</w:t>
      </w:r>
      <w:r w:rsidR="003C3BFE">
        <w:t>ϊ</w:t>
      </w:r>
      <w:r w:rsidRPr="00F04CF5">
        <w:t xml:space="preserve">νασών που συντηρούν τη φλεγμονή </w:t>
      </w:r>
      <w:r w:rsidR="00F96037">
        <w:t>του αρθρικού υμένα</w:t>
      </w:r>
      <w:r w:rsidRPr="00F04CF5">
        <w:t xml:space="preserve"> και προκαλούν αρθρική βλάβη</w:t>
      </w:r>
      <w:r w:rsidR="00D108CB" w:rsidRPr="009062FD">
        <w:rPr>
          <w:vertAlign w:val="superscript"/>
        </w:rPr>
        <w:t>5</w:t>
      </w:r>
      <w:r w:rsidRPr="008353F8">
        <w:rPr>
          <w:color w:val="FF0000"/>
        </w:rPr>
        <w:t>.</w:t>
      </w:r>
      <w:r w:rsidRPr="00F04CF5">
        <w:t xml:space="preserve"> Για τη συστηματική μορφή ειδικότερα, πιστεύεται ότι αποτελεί ξεχωριστή οντότητα σε σχέση με τις άλλες μορφές, διότι δεν σχετίζεται με συγκεκριμένα </w:t>
      </w:r>
      <w:r w:rsidRPr="00F04CF5">
        <w:rPr>
          <w:lang w:bidi="en-US"/>
        </w:rPr>
        <w:t>HLA</w:t>
      </w:r>
      <w:r w:rsidRPr="00F04CF5">
        <w:t>-αντιγόνα / απλότυπους, δεν έχει θετικά ΑΝΑ ή άλλα αυτοαντισώματα</w:t>
      </w:r>
      <w:r w:rsidR="00F96037">
        <w:t xml:space="preserve"> </w:t>
      </w:r>
      <w:r w:rsidRPr="00F04CF5">
        <w:t>και μεγάλο ποσοστό ασθενών δεν απαντά   στη θεραπεία με αντι-</w:t>
      </w:r>
      <w:r w:rsidRPr="00F04CF5">
        <w:rPr>
          <w:lang w:bidi="en-US"/>
        </w:rPr>
        <w:t>TNF</w:t>
      </w:r>
      <w:r w:rsidRPr="00F04CF5">
        <w:t xml:space="preserve"> παράγοντες αλλά απαντά στη θεραπεία με αντι-</w:t>
      </w:r>
      <w:r w:rsidRPr="00F04CF5">
        <w:rPr>
          <w:lang w:bidi="en-US"/>
        </w:rPr>
        <w:t>IL</w:t>
      </w:r>
      <w:r w:rsidRPr="00F04CF5">
        <w:t>-1  και αντι-</w:t>
      </w:r>
      <w:r w:rsidRPr="00F04CF5">
        <w:rPr>
          <w:lang w:bidi="en-US"/>
        </w:rPr>
        <w:t>IL</w:t>
      </w:r>
      <w:r w:rsidRPr="00F04CF5">
        <w:t>-6</w:t>
      </w:r>
      <w:r w:rsidR="00D108CB" w:rsidRPr="00D108CB">
        <w:t xml:space="preserve"> </w:t>
      </w:r>
      <w:r w:rsidR="00D108CB" w:rsidRPr="009062FD">
        <w:rPr>
          <w:vertAlign w:val="superscript"/>
        </w:rPr>
        <w:t>4</w:t>
      </w:r>
      <w:r w:rsidRPr="00F04CF5">
        <w:t>. Επιπλέον, ο κλινικός φαινότυπος της νόσου και η απουσία ιριδοκυκλίτιδας (αυτοάνοση κατάσταση) παραπέμπει σε αυτοφλεγμονώδες σύνδρομο. Έτσι, τα τελευταία χρόνια διαμορφώθηκε η άποψη, ότι η μορφή αυτή διακρίνεται σε δύο υποπληθυσμούς,  από τους οποίους, ο ένας απαντά στη θεραπεία με αντι-</w:t>
      </w:r>
      <w:r w:rsidRPr="00F04CF5">
        <w:rPr>
          <w:lang w:bidi="en-US"/>
        </w:rPr>
        <w:t>IL</w:t>
      </w:r>
      <w:r w:rsidRPr="00F04CF5">
        <w:t xml:space="preserve">-1 και ο άλλος δεν απαντά ή απαντά μερικώς. Η παθογένεια του πρώτου σχετίζεται με την </w:t>
      </w:r>
      <w:r w:rsidRPr="00F04CF5">
        <w:rPr>
          <w:lang w:bidi="en-US"/>
        </w:rPr>
        <w:t>IL</w:t>
      </w:r>
      <w:r w:rsidRPr="00F04CF5">
        <w:t>-1 , όπως συμβαίνει με τα κληρονομικά αυτοφλεγμονώδη νο</w:t>
      </w:r>
      <w:r w:rsidR="007809C8" w:rsidRPr="00F04CF5">
        <w:t>σ</w:t>
      </w:r>
      <w:r w:rsidRPr="00F04CF5">
        <w:t>ήματα της παιδικής ηλικίας</w:t>
      </w:r>
      <w:r w:rsidR="00F04CF5" w:rsidRPr="00F04CF5">
        <w:t>,</w:t>
      </w:r>
      <w:r w:rsidRPr="00F04CF5">
        <w:t xml:space="preserve"> γι’</w:t>
      </w:r>
      <w:r w:rsidR="007809C8" w:rsidRPr="00F04CF5">
        <w:t xml:space="preserve"> </w:t>
      </w:r>
      <w:r w:rsidRPr="00F04CF5">
        <w:t>αυτό και η ΣΝΙΑ θεωρείται σήμερα ως ένα πολυγονιδιακό αυτοφλεγμονώδες  νόσημα/σύνδρομο</w:t>
      </w:r>
      <w:r w:rsidR="008372E0" w:rsidRPr="008372E0">
        <w:t xml:space="preserve"> </w:t>
      </w:r>
      <w:r w:rsidR="00D108CB" w:rsidRPr="009062FD">
        <w:rPr>
          <w:vertAlign w:val="superscript"/>
        </w:rPr>
        <w:t>3</w:t>
      </w:r>
      <w:r w:rsidR="006E27D5" w:rsidRPr="009062FD">
        <w:rPr>
          <w:vertAlign w:val="superscript"/>
        </w:rPr>
        <w:t>,4</w:t>
      </w:r>
      <w:r w:rsidRPr="009062FD">
        <w:t>.</w:t>
      </w:r>
    </w:p>
    <w:p w:rsidR="00E61E97" w:rsidRPr="00F96037" w:rsidRDefault="00E61E97" w:rsidP="00BA70B1">
      <w:pPr>
        <w:jc w:val="both"/>
        <w:rPr>
          <w:color w:val="FF0000"/>
        </w:rPr>
      </w:pPr>
    </w:p>
    <w:p w:rsidR="00BA70B1" w:rsidRPr="00BA70B1" w:rsidRDefault="00E61E97" w:rsidP="00BA70B1">
      <w:pPr>
        <w:jc w:val="both"/>
      </w:pPr>
      <w:r w:rsidRPr="00361CC5">
        <w:rPr>
          <w:b/>
        </w:rPr>
        <w:t>Νέες θεραπευτικές τάσεις</w:t>
      </w:r>
      <w:r w:rsidRPr="00E61E97">
        <w:rPr>
          <w:b/>
          <w:i/>
        </w:rPr>
        <w:t>:</w:t>
      </w:r>
      <w:r>
        <w:t xml:space="preserve"> </w:t>
      </w:r>
      <w:r w:rsidR="00BA70B1" w:rsidRPr="00BA70B1">
        <w:t xml:space="preserve">Τα τελευταία 15 χρόνια επήλθε επανάσταση στα διαθέσιμα θεραπευτικά μέσα  για την αντιμετώπιση της </w:t>
      </w:r>
      <w:r w:rsidR="00BA70B1" w:rsidRPr="00BA70B1">
        <w:rPr>
          <w:lang w:val="en-US"/>
        </w:rPr>
        <w:t>NIA</w:t>
      </w:r>
      <w:r w:rsidR="00BA70B1" w:rsidRPr="00BA70B1">
        <w:t>, με  αποτέλεσμα την επίτευξη ανενεργού νόσου και περιορισμού  της μακροχρόνιας αθροιστικής βλάβης</w:t>
      </w:r>
      <w:r w:rsidR="00CD2CAF" w:rsidRPr="00CD2CAF">
        <w:t>,</w:t>
      </w:r>
      <w:r w:rsidR="00BA70B1" w:rsidRPr="00BA70B1">
        <w:t xml:space="preserve"> στην πλειονότητα των ασθενών</w:t>
      </w:r>
      <w:r w:rsidR="008417A0" w:rsidRPr="008417A0">
        <w:t xml:space="preserve"> </w:t>
      </w:r>
      <w:r w:rsidR="006E27D5" w:rsidRPr="009062FD">
        <w:rPr>
          <w:vertAlign w:val="superscript"/>
        </w:rPr>
        <w:t>6-11</w:t>
      </w:r>
      <w:r w:rsidR="00BA70B1" w:rsidRPr="009062FD">
        <w:t>.</w:t>
      </w:r>
      <w:r w:rsidR="00BA70B1" w:rsidRPr="00BA70B1">
        <w:t xml:space="preserve"> Στο ανασκοπικό </w:t>
      </w:r>
      <w:r w:rsidR="00074AF6" w:rsidRPr="00BA70B1">
        <w:t xml:space="preserve">αυτό </w:t>
      </w:r>
      <w:r w:rsidR="00BA70B1" w:rsidRPr="00BA70B1">
        <w:t>άρθρο</w:t>
      </w:r>
      <w:r w:rsidR="00074AF6" w:rsidRPr="00074AF6">
        <w:t>,</w:t>
      </w:r>
      <w:r w:rsidR="00BA70B1" w:rsidRPr="00BA70B1">
        <w:t xml:space="preserve"> παρουσιάζονται οι τρέχουσες συστάσεις  του </w:t>
      </w:r>
      <w:r w:rsidR="00BA70B1" w:rsidRPr="00BA70B1">
        <w:rPr>
          <w:lang w:val="en-US"/>
        </w:rPr>
        <w:t>ACR</w:t>
      </w:r>
      <w:r w:rsidR="00BA70B1" w:rsidRPr="00BA70B1">
        <w:t xml:space="preserve"> καθώς  και </w:t>
      </w:r>
      <w:r w:rsidR="00103F7B">
        <w:t xml:space="preserve">οι </w:t>
      </w:r>
      <w:r w:rsidR="00BA70B1" w:rsidRPr="00BA70B1">
        <w:t xml:space="preserve">ομοφωνίες άλλων επιστημονικών φορέων για την αντιμετώπιση της </w:t>
      </w:r>
      <w:r w:rsidR="00BA70B1" w:rsidRPr="00BA70B1">
        <w:rPr>
          <w:lang w:val="en-US"/>
        </w:rPr>
        <w:t>NIA</w:t>
      </w:r>
      <w:r w:rsidR="00BA70B1" w:rsidRPr="00BA70B1">
        <w:t>.</w:t>
      </w:r>
      <w:r>
        <w:t xml:space="preserve"> </w:t>
      </w:r>
      <w:r w:rsidR="00416329">
        <w:t xml:space="preserve"> Για την καλύτερη κατανόηση των</w:t>
      </w:r>
      <w:r w:rsidR="00FF25E2" w:rsidRPr="00FF25E2">
        <w:t xml:space="preserve"> </w:t>
      </w:r>
      <w:r w:rsidR="00416329">
        <w:t>συστάσεων αυτών, θα π</w:t>
      </w:r>
      <w:r>
        <w:t>ροτ</w:t>
      </w:r>
      <w:r w:rsidR="00416329">
        <w:t>αχθούν</w:t>
      </w:r>
      <w:r>
        <w:t xml:space="preserve"> οι σύγχρονοι ορισμοί</w:t>
      </w:r>
      <w:r w:rsidR="00DC197D">
        <w:t xml:space="preserve"> </w:t>
      </w:r>
      <w:r w:rsidR="00DC197D">
        <w:br/>
        <w:t>(</w:t>
      </w:r>
      <w:r w:rsidR="00DC197D">
        <w:rPr>
          <w:lang w:val="en-US"/>
        </w:rPr>
        <w:t>definitions</w:t>
      </w:r>
      <w:r w:rsidR="00DC197D" w:rsidRPr="00DC197D">
        <w:t>)</w:t>
      </w:r>
      <w:r w:rsidR="00DC197D">
        <w:t xml:space="preserve"> </w:t>
      </w:r>
      <w:r>
        <w:t xml:space="preserve">και τα </w:t>
      </w:r>
      <w:r w:rsidR="00F36812">
        <w:t>«</w:t>
      </w:r>
      <w:r>
        <w:t>εργαλεία</w:t>
      </w:r>
      <w:r w:rsidR="00F36812">
        <w:t>»</w:t>
      </w:r>
      <w:r>
        <w:t xml:space="preserve"> εκτίμησης του ασθενούς</w:t>
      </w:r>
      <w:r w:rsidR="00DC197D" w:rsidRPr="00DC197D">
        <w:t xml:space="preserve"> (</w:t>
      </w:r>
      <w:r w:rsidR="00DC197D">
        <w:rPr>
          <w:lang w:val="en-US"/>
        </w:rPr>
        <w:t>assessment</w:t>
      </w:r>
      <w:r w:rsidR="00DC197D" w:rsidRPr="00DC197D">
        <w:t xml:space="preserve"> </w:t>
      </w:r>
      <w:r w:rsidR="00DC197D">
        <w:rPr>
          <w:lang w:val="en-US"/>
        </w:rPr>
        <w:t>tools</w:t>
      </w:r>
      <w:r w:rsidR="00DC197D" w:rsidRPr="00DC197D">
        <w:t>)</w:t>
      </w:r>
      <w:r w:rsidR="00074AF6" w:rsidRPr="00074AF6">
        <w:t>,</w:t>
      </w:r>
      <w:r>
        <w:t xml:space="preserve"> που χρησιμοποιούνται σήμερα διεθνώς στην παιδορευματολογική κλινική πράξη. </w:t>
      </w:r>
    </w:p>
    <w:p w:rsidR="00054CBB" w:rsidRPr="00E61E97" w:rsidRDefault="00054CBB" w:rsidP="00A067A2">
      <w:pPr>
        <w:jc w:val="both"/>
        <w:rPr>
          <w:b/>
        </w:rPr>
      </w:pPr>
    </w:p>
    <w:p w:rsidR="00D974AB" w:rsidRPr="00D974AB" w:rsidRDefault="005D5A58" w:rsidP="00A067A2">
      <w:pPr>
        <w:jc w:val="both"/>
        <w:rPr>
          <w:b/>
        </w:rPr>
      </w:pPr>
      <w:r>
        <w:rPr>
          <w:b/>
        </w:rPr>
        <w:t>2</w:t>
      </w:r>
      <w:r w:rsidR="00D974AB" w:rsidRPr="00D974AB">
        <w:rPr>
          <w:b/>
        </w:rPr>
        <w:t>.</w:t>
      </w:r>
      <w:r w:rsidR="00D974AB" w:rsidRPr="00D974AB">
        <w:rPr>
          <w:b/>
          <w:lang w:bidi="en-US"/>
        </w:rPr>
        <w:t>O</w:t>
      </w:r>
      <w:r w:rsidR="00D974AB" w:rsidRPr="00D974AB">
        <w:rPr>
          <w:b/>
        </w:rPr>
        <w:t>ΡΙΣΜΟΙ</w:t>
      </w:r>
    </w:p>
    <w:p w:rsidR="00A067A2" w:rsidRDefault="00D974AB" w:rsidP="00AB3200">
      <w:pPr>
        <w:rPr>
          <w:b/>
          <w:i/>
        </w:rPr>
      </w:pPr>
      <w:r w:rsidRPr="00D974AB">
        <w:rPr>
          <w:b/>
          <w:i/>
        </w:rPr>
        <w:t>Ενεργός</w:t>
      </w:r>
      <w:r w:rsidR="00F04CF5" w:rsidRPr="00F04CF5">
        <w:t xml:space="preserve"> </w:t>
      </w:r>
      <w:r w:rsidR="00F36812">
        <w:rPr>
          <w:b/>
          <w:i/>
        </w:rPr>
        <w:t>Ν</w:t>
      </w:r>
      <w:r w:rsidR="00F04CF5" w:rsidRPr="00F04CF5">
        <w:rPr>
          <w:b/>
          <w:i/>
        </w:rPr>
        <w:t>ΙΑ</w:t>
      </w:r>
      <w:r w:rsidR="00F04CF5">
        <w:rPr>
          <w:b/>
          <w:i/>
        </w:rPr>
        <w:t xml:space="preserve">: </w:t>
      </w:r>
      <w:r w:rsidRPr="00D974AB">
        <w:t xml:space="preserve">Ως </w:t>
      </w:r>
      <w:r w:rsidR="00074AF6">
        <w:t>«</w:t>
      </w:r>
      <w:r w:rsidRPr="00D974AB">
        <w:t xml:space="preserve">ενεργός </w:t>
      </w:r>
      <w:r w:rsidR="00F04CF5" w:rsidRPr="00F04CF5">
        <w:rPr>
          <w:lang w:val="en-US"/>
        </w:rPr>
        <w:t>NIA</w:t>
      </w:r>
      <w:r w:rsidR="00074AF6">
        <w:t>»</w:t>
      </w:r>
      <w:r w:rsidR="00F04CF5" w:rsidRPr="00D974AB">
        <w:t xml:space="preserve"> </w:t>
      </w:r>
      <w:r w:rsidRPr="00D974AB">
        <w:t xml:space="preserve">ορίζεται η παρουσία διόγκωσης σε κάποια άρθρωση, που δεν οφείλεται σε οστική  αύξηση /διεύρυνση και συνοδεύεται συνήθως από αύξηση της θερμοκρασίας τοπικά </w:t>
      </w:r>
      <w:r w:rsidR="00F04CF5">
        <w:t xml:space="preserve">(χωρίς ερυθρότητα) </w:t>
      </w:r>
      <w:r w:rsidRPr="00D974AB">
        <w:t>και περιορισμό της κινητικότητας λόγω πόνου. Όταν απουσιάζει η διόγκωση ή δεν είναι ορατή (π.χ. αρθρίτιδα ισχίου, μεσοσπονδυλίων  αρθρώσεων),  η παρουσία ενεργού αρθρίτιδας καθορίζεται από τον περιορισμό της κινητικότητας της άρθρωσης, που συνοδεύεται από πόνο στην κίνηση ή από ευαισθησία στην εξέταση</w:t>
      </w:r>
      <w:r w:rsidR="00074AF6" w:rsidRPr="00074AF6">
        <w:t>/</w:t>
      </w:r>
      <w:r w:rsidRPr="00D974AB">
        <w:t xml:space="preserve"> πίεση της άρθρωσης και δεν αποδίδεται σε άλλη, μη ρευματική αιτιολογία</w:t>
      </w:r>
      <w:r w:rsidR="00074AF6" w:rsidRPr="00074AF6">
        <w:rPr>
          <w:color w:val="FF0000"/>
        </w:rPr>
        <w:t>.</w:t>
      </w:r>
      <w:r w:rsidR="00A067A2">
        <w:t xml:space="preserve"> Η αρθρίτιδα μπορεί να συνοδεύεται ή όχι από πρόσθια ραγοειδίτιδα (ιριδοκυκλίτιδα). Σε κάποια φάση της </w:t>
      </w:r>
      <w:r w:rsidR="00AB3200">
        <w:t xml:space="preserve">πορείας της ΝΙΑ, </w:t>
      </w:r>
      <w:r w:rsidR="00A067A2">
        <w:t>μπορεί να έχουμε έξαρση ή υποτροπή μόνο της ιριδοκυκλίτιδας</w:t>
      </w:r>
      <w:r w:rsidR="00AB3200">
        <w:t xml:space="preserve"> </w:t>
      </w:r>
      <w:r w:rsidR="00A067A2">
        <w:t xml:space="preserve"> χωρίς </w:t>
      </w:r>
      <w:r w:rsidR="00AB3200">
        <w:t xml:space="preserve">συνοδό </w:t>
      </w:r>
      <w:r w:rsidR="00A067A2">
        <w:t>αρθρίτιδα</w:t>
      </w:r>
      <w:r w:rsidR="00AB3200" w:rsidRPr="00AB3200">
        <w:t xml:space="preserve">, </w:t>
      </w:r>
      <w:r w:rsidR="00AB3200">
        <w:t xml:space="preserve">οπότε και πάλι η νόσος χαρακτηρίζεται ως </w:t>
      </w:r>
      <w:r w:rsidR="00AB3200" w:rsidRPr="009062FD">
        <w:t>ενεργός</w:t>
      </w:r>
      <w:r w:rsidR="004E5971" w:rsidRPr="009062FD">
        <w:rPr>
          <w:vertAlign w:val="superscript"/>
        </w:rPr>
        <w:t>1-3</w:t>
      </w:r>
      <w:r w:rsidR="00AB3200">
        <w:t>.</w:t>
      </w:r>
    </w:p>
    <w:p w:rsidR="00A067A2" w:rsidRDefault="00A067A2" w:rsidP="00A067A2">
      <w:pPr>
        <w:jc w:val="both"/>
        <w:rPr>
          <w:b/>
          <w:i/>
        </w:rPr>
      </w:pPr>
    </w:p>
    <w:p w:rsidR="000129D8" w:rsidRDefault="000129D8" w:rsidP="00A067A2">
      <w:pPr>
        <w:jc w:val="both"/>
        <w:rPr>
          <w:b/>
          <w:i/>
        </w:rPr>
      </w:pPr>
    </w:p>
    <w:p w:rsidR="00D974AB" w:rsidRPr="00D974AB" w:rsidRDefault="00D974AB" w:rsidP="00A067A2">
      <w:pPr>
        <w:jc w:val="both"/>
        <w:rPr>
          <w:b/>
          <w:i/>
        </w:rPr>
      </w:pPr>
      <w:r w:rsidRPr="00D974AB">
        <w:rPr>
          <w:b/>
          <w:i/>
        </w:rPr>
        <w:t>Ανενεργός ΝΙΑ (Κλινική ύφεση)</w:t>
      </w:r>
    </w:p>
    <w:p w:rsidR="00D974AB" w:rsidRPr="009062FD" w:rsidRDefault="00D974AB" w:rsidP="00A067A2">
      <w:pPr>
        <w:jc w:val="both"/>
        <w:rPr>
          <w:vertAlign w:val="superscript"/>
        </w:rPr>
      </w:pPr>
      <w:r w:rsidRPr="00D974AB">
        <w:t>Ως «ανενεργός ΝΙΑ» ή «ΝΙΑ σε κλινική ύφεση» ορίζεται η κατάσταση του ασθενούς που χαρακτηρίζεται από</w:t>
      </w:r>
      <w:r w:rsidRPr="009062FD">
        <w:t>:</w:t>
      </w:r>
      <w:r w:rsidRPr="009062FD">
        <w:rPr>
          <w:vertAlign w:val="superscript"/>
        </w:rPr>
        <w:t xml:space="preserve"> </w:t>
      </w:r>
      <w:r w:rsidR="004E5971" w:rsidRPr="009062FD">
        <w:rPr>
          <w:vertAlign w:val="superscript"/>
        </w:rPr>
        <w:t>12,13</w:t>
      </w:r>
    </w:p>
    <w:p w:rsidR="00D974AB" w:rsidRPr="00D974AB" w:rsidRDefault="00D974AB" w:rsidP="00A067A2">
      <w:pPr>
        <w:numPr>
          <w:ilvl w:val="0"/>
          <w:numId w:val="2"/>
        </w:numPr>
        <w:jc w:val="both"/>
      </w:pPr>
      <w:r w:rsidRPr="00D974AB">
        <w:t xml:space="preserve">Απουσία   ενεργού   αρθρίτιδας,   πυρετού*,   εξανθήματος,   ορογονίτιδας, </w:t>
      </w:r>
      <w:r w:rsidR="00A0548A">
        <w:t xml:space="preserve"> </w:t>
      </w:r>
      <w:r w:rsidRPr="00D974AB">
        <w:t xml:space="preserve">μεγαλοσπληνίας ή γενικευμένης  λεμφαδενοπάθειας που αποδίδεται στη </w:t>
      </w:r>
      <w:r w:rsidRPr="00D974AB">
        <w:rPr>
          <w:lang w:bidi="en-US"/>
        </w:rPr>
        <w:t>NIA</w:t>
      </w:r>
    </w:p>
    <w:p w:rsidR="00D974AB" w:rsidRPr="00D974AB" w:rsidRDefault="00D974AB" w:rsidP="00A067A2">
      <w:pPr>
        <w:numPr>
          <w:ilvl w:val="0"/>
          <w:numId w:val="2"/>
        </w:numPr>
        <w:jc w:val="both"/>
        <w:rPr>
          <w:lang w:bidi="en-US"/>
        </w:rPr>
      </w:pPr>
      <w:r w:rsidRPr="00D974AB">
        <w:t>Απουσία ενεργού ραγοειδίτιδας</w:t>
      </w:r>
    </w:p>
    <w:p w:rsidR="00D974AB" w:rsidRPr="00D974AB" w:rsidRDefault="00D974AB" w:rsidP="00A067A2">
      <w:pPr>
        <w:numPr>
          <w:ilvl w:val="0"/>
          <w:numId w:val="2"/>
        </w:numPr>
        <w:jc w:val="both"/>
      </w:pPr>
      <w:r w:rsidRPr="00D974AB">
        <w:t xml:space="preserve">Φυσιολογικά επίπεδα ΤΚΕ ή </w:t>
      </w:r>
      <w:r w:rsidRPr="00D974AB">
        <w:rPr>
          <w:lang w:bidi="en-US"/>
        </w:rPr>
        <w:t>CRP</w:t>
      </w:r>
    </w:p>
    <w:p w:rsidR="00D974AB" w:rsidRPr="00294548" w:rsidRDefault="00D974AB" w:rsidP="00A067A2">
      <w:pPr>
        <w:numPr>
          <w:ilvl w:val="0"/>
          <w:numId w:val="2"/>
        </w:numPr>
        <w:jc w:val="both"/>
      </w:pPr>
      <w:r w:rsidRPr="00D974AB">
        <w:t xml:space="preserve">Το καλύτερο δυνατό </w:t>
      </w:r>
      <w:r w:rsidR="00A0548A">
        <w:rPr>
          <w:lang w:val="en-US"/>
        </w:rPr>
        <w:t>score</w:t>
      </w:r>
      <w:r w:rsidR="00A0548A" w:rsidRPr="00A0548A">
        <w:t xml:space="preserve"> </w:t>
      </w:r>
      <w:r w:rsidRPr="00D974AB">
        <w:t>(ανάλογα  με το εργαλείο που χρησιμοπ</w:t>
      </w:r>
      <w:r w:rsidR="00F04CF5">
        <w:t xml:space="preserve">οιείται) </w:t>
      </w:r>
      <w:r w:rsidRPr="00D974AB">
        <w:t xml:space="preserve"> στη   σφαιρική  εκτίμηση  του  ιατρού  για  τη  δραστηριότητα  της  νόσ</w:t>
      </w:r>
      <w:r w:rsidR="00F04CF5">
        <w:t xml:space="preserve">ου </w:t>
      </w:r>
      <w:r w:rsidRPr="00D974AB">
        <w:t xml:space="preserve">π.χ. </w:t>
      </w:r>
      <w:r w:rsidR="00294548">
        <w:t>Σε οπτική αναλογική κλίμακα (</w:t>
      </w:r>
      <w:r w:rsidR="00294548">
        <w:rPr>
          <w:lang w:val="en-US"/>
        </w:rPr>
        <w:t>Visual</w:t>
      </w:r>
      <w:r w:rsidR="00294548" w:rsidRPr="00294548">
        <w:t xml:space="preserve"> </w:t>
      </w:r>
      <w:r w:rsidR="00294548">
        <w:rPr>
          <w:lang w:val="en-US"/>
        </w:rPr>
        <w:t>Analogue</w:t>
      </w:r>
      <w:r w:rsidR="00294548" w:rsidRPr="00294548">
        <w:t xml:space="preserve"> </w:t>
      </w:r>
      <w:r w:rsidR="00294548">
        <w:rPr>
          <w:lang w:val="en-US"/>
        </w:rPr>
        <w:t>Scale</w:t>
      </w:r>
      <w:r w:rsidR="00294548" w:rsidRPr="00294548">
        <w:t xml:space="preserve"> </w:t>
      </w:r>
      <w:r w:rsidR="00294548">
        <w:t xml:space="preserve">ή </w:t>
      </w:r>
      <w:r w:rsidR="00FA0A7D" w:rsidRPr="00294548">
        <w:rPr>
          <w:lang w:bidi="en-US"/>
        </w:rPr>
        <w:t xml:space="preserve">VAS </w:t>
      </w:r>
      <w:r w:rsidR="00DC197D" w:rsidRPr="00294548">
        <w:t xml:space="preserve">από </w:t>
      </w:r>
      <w:r w:rsidR="00FA0A7D" w:rsidRPr="00294548">
        <w:t xml:space="preserve">1-10, </w:t>
      </w:r>
      <w:r w:rsidR="00FA0A7D" w:rsidRPr="00294548">
        <w:rPr>
          <w:lang w:bidi="en-US"/>
        </w:rPr>
        <w:t>score</w:t>
      </w:r>
      <w:r w:rsidR="00FA0A7D" w:rsidRPr="00294548">
        <w:t xml:space="preserve"> ≤1)</w:t>
      </w:r>
    </w:p>
    <w:p w:rsidR="00D974AB" w:rsidRPr="00D974AB" w:rsidRDefault="00D974AB" w:rsidP="00A067A2">
      <w:pPr>
        <w:numPr>
          <w:ilvl w:val="0"/>
          <w:numId w:val="2"/>
        </w:numPr>
        <w:jc w:val="both"/>
      </w:pPr>
      <w:r w:rsidRPr="00D974AB">
        <w:t>Διάρκεια πρωινής δυσκαμψίας ≤15</w:t>
      </w:r>
      <w:r w:rsidRPr="00D974AB">
        <w:rPr>
          <w:lang w:bidi="en-US"/>
        </w:rPr>
        <w:t>min</w:t>
      </w:r>
    </w:p>
    <w:p w:rsidR="00D974AB" w:rsidRPr="00D974AB" w:rsidRDefault="00D974AB" w:rsidP="00A067A2">
      <w:pPr>
        <w:jc w:val="both"/>
      </w:pPr>
      <w:r w:rsidRPr="00D974AB">
        <w:t>*Απουσία διαλείποντος  πυρετού, χαρακτηριστικού της ΣΝΙΑ (1-2 κύματα υψηλού πυρετού &gt; 38</w:t>
      </w:r>
      <w:r w:rsidRPr="00D974AB">
        <w:rPr>
          <w:vertAlign w:val="superscript"/>
        </w:rPr>
        <w:t>ο</w:t>
      </w:r>
      <w:r w:rsidRPr="00D974AB">
        <w:t xml:space="preserve"> ημερησίως και στα μεσοδιαστήματα, πολύ καλή γενική κατάσταση του παιδιού) κατά τη διάρκεια της προηγούμενης εβδομάδας (βλέπε πίν.1).</w:t>
      </w:r>
    </w:p>
    <w:p w:rsidR="00D974AB" w:rsidRPr="00D974AB" w:rsidRDefault="00D974AB" w:rsidP="00A067A2">
      <w:pPr>
        <w:jc w:val="both"/>
        <w:rPr>
          <w:b/>
          <w:i/>
        </w:rPr>
      </w:pPr>
    </w:p>
    <w:p w:rsidR="00D974AB" w:rsidRPr="00D974AB" w:rsidRDefault="00D974AB" w:rsidP="00A067A2">
      <w:pPr>
        <w:jc w:val="both"/>
      </w:pPr>
      <w:r w:rsidRPr="00D974AB">
        <w:rPr>
          <w:b/>
          <w:i/>
        </w:rPr>
        <w:t xml:space="preserve"> Κλινική ύφεση υπό θεραπεία</w:t>
      </w:r>
      <w:r w:rsidRPr="00D974AB">
        <w:t xml:space="preserve">  : Ανενεργός νόσος επί 6 διαδοχικούς μήνες υπό θεραπεία.</w:t>
      </w:r>
    </w:p>
    <w:p w:rsidR="00D974AB" w:rsidRPr="00D974AB" w:rsidRDefault="00D974AB" w:rsidP="00A067A2">
      <w:pPr>
        <w:jc w:val="both"/>
      </w:pPr>
      <w:r w:rsidRPr="00D974AB">
        <w:rPr>
          <w:b/>
          <w:i/>
        </w:rPr>
        <w:t>Κλινική ύφεση  εκτός  θεραπείας</w:t>
      </w:r>
      <w:r w:rsidRPr="00D974AB">
        <w:t xml:space="preserve"> : Ανενεργός  νόσος επί 12 διαδοχικούς  μήνες  εκτός θεραπείας για </w:t>
      </w:r>
      <w:r w:rsidRPr="00D974AB">
        <w:rPr>
          <w:lang w:bidi="en-US"/>
        </w:rPr>
        <w:t>NIA</w:t>
      </w:r>
      <w:r w:rsidRPr="00D974AB">
        <w:t xml:space="preserve"> ή για ραγοειδίτιδα.</w:t>
      </w:r>
    </w:p>
    <w:p w:rsidR="00D974AB" w:rsidRPr="009062FD" w:rsidRDefault="00D974AB" w:rsidP="00A067A2">
      <w:pPr>
        <w:jc w:val="both"/>
        <w:rPr>
          <w:i/>
          <w:vertAlign w:val="superscript"/>
        </w:rPr>
      </w:pPr>
      <w:r w:rsidRPr="00D974AB">
        <w:rPr>
          <w:b/>
          <w:i/>
        </w:rPr>
        <w:t xml:space="preserve">Ελάχιστα ενεργός </w:t>
      </w:r>
      <w:r w:rsidRPr="00D974AB">
        <w:rPr>
          <w:b/>
          <w:i/>
          <w:lang w:bidi="en-US"/>
        </w:rPr>
        <w:t>NIA</w:t>
      </w:r>
      <w:r w:rsidRPr="00D974AB">
        <w:rPr>
          <w:b/>
          <w:i/>
        </w:rPr>
        <w:t xml:space="preserve"> (ΝΙΑ με ελάχιστη δραστηριότητα) </w:t>
      </w:r>
      <w:r w:rsidR="004E5971" w:rsidRPr="009062FD">
        <w:rPr>
          <w:i/>
          <w:vertAlign w:val="superscript"/>
        </w:rPr>
        <w:t>14</w:t>
      </w:r>
    </w:p>
    <w:p w:rsidR="00D974AB" w:rsidRPr="00D974AB" w:rsidRDefault="00D974AB" w:rsidP="00A067A2">
      <w:pPr>
        <w:jc w:val="both"/>
      </w:pPr>
      <w:r w:rsidRPr="00D974AB">
        <w:rPr>
          <w:i/>
        </w:rPr>
        <w:t xml:space="preserve">Ολιγοαρθρική </w:t>
      </w:r>
      <w:r w:rsidRPr="00D974AB">
        <w:rPr>
          <w:i/>
          <w:lang w:bidi="en-US"/>
        </w:rPr>
        <w:t>NIA</w:t>
      </w:r>
      <w:r w:rsidRPr="00D974AB">
        <w:rPr>
          <w:i/>
        </w:rPr>
        <w:t xml:space="preserve">: </w:t>
      </w:r>
      <w:r w:rsidRPr="00D974AB">
        <w:t xml:space="preserve">Σφαιρική εκτίμηση ιατρού σε Οπτική Αναλογική Κλίμακα </w:t>
      </w:r>
      <w:r w:rsidR="00294548">
        <w:t>(</w:t>
      </w:r>
      <w:r w:rsidR="00294548" w:rsidRPr="00D974AB">
        <w:rPr>
          <w:lang w:bidi="en-US"/>
        </w:rPr>
        <w:t>VAS</w:t>
      </w:r>
      <w:r w:rsidR="00294548">
        <w:rPr>
          <w:lang w:bidi="en-US"/>
        </w:rPr>
        <w:t>)</w:t>
      </w:r>
      <w:r w:rsidR="00294548" w:rsidRPr="00D974AB">
        <w:t xml:space="preserve"> </w:t>
      </w:r>
      <w:r w:rsidR="00294548" w:rsidRPr="00294548">
        <w:t xml:space="preserve">από 1-10, </w:t>
      </w:r>
      <w:r w:rsidR="00294548" w:rsidRPr="00294548">
        <w:rPr>
          <w:lang w:bidi="en-US"/>
        </w:rPr>
        <w:t>score</w:t>
      </w:r>
      <w:r w:rsidR="00294548" w:rsidRPr="00294548">
        <w:t xml:space="preserve"> </w:t>
      </w:r>
      <w:r w:rsidRPr="00D974AB">
        <w:t>≤2.5/10  και αριθμός διογκωμένων αρθρώσεων  0.</w:t>
      </w:r>
    </w:p>
    <w:p w:rsidR="00D974AB" w:rsidRPr="00D974AB" w:rsidRDefault="00D974AB" w:rsidP="00A067A2">
      <w:pPr>
        <w:jc w:val="both"/>
      </w:pPr>
      <w:r w:rsidRPr="00D974AB">
        <w:rPr>
          <w:i/>
        </w:rPr>
        <w:t xml:space="preserve">Πολυαρθρική </w:t>
      </w:r>
      <w:r w:rsidRPr="00D974AB">
        <w:rPr>
          <w:i/>
          <w:lang w:bidi="en-US"/>
        </w:rPr>
        <w:t>NIA</w:t>
      </w:r>
      <w:r w:rsidRPr="00D974AB">
        <w:t xml:space="preserve">: Σφαιρική εκτίμηση ιατρού: </w:t>
      </w:r>
      <w:r w:rsidRPr="00D974AB">
        <w:rPr>
          <w:lang w:bidi="en-US"/>
        </w:rPr>
        <w:t>VAS</w:t>
      </w:r>
      <w:r w:rsidRPr="00D974AB">
        <w:t xml:space="preserve"> ≤3.4/10  και αριθμός διογκωμένων αρθρώσεων  ≤1.</w:t>
      </w:r>
    </w:p>
    <w:p w:rsidR="00D974AB" w:rsidRPr="00D974AB" w:rsidRDefault="00D974AB" w:rsidP="00A067A2">
      <w:pPr>
        <w:jc w:val="both"/>
      </w:pPr>
      <w:r w:rsidRPr="00D974AB">
        <w:rPr>
          <w:i/>
        </w:rPr>
        <w:t xml:space="preserve">Συστηματική </w:t>
      </w:r>
      <w:r w:rsidRPr="00D974AB">
        <w:rPr>
          <w:i/>
          <w:lang w:bidi="en-US"/>
        </w:rPr>
        <w:t>NIA</w:t>
      </w:r>
      <w:r w:rsidRPr="00D974AB">
        <w:rPr>
          <w:i/>
        </w:rPr>
        <w:t>:</w:t>
      </w:r>
      <w:r w:rsidRPr="00D974AB">
        <w:t xml:space="preserve">  δεν έχουν ακόμη καθοριστεί κριτήρια.</w:t>
      </w:r>
    </w:p>
    <w:p w:rsidR="00D974AB" w:rsidRPr="00D974AB" w:rsidRDefault="00D974AB" w:rsidP="00A067A2">
      <w:pPr>
        <w:jc w:val="both"/>
      </w:pPr>
    </w:p>
    <w:p w:rsidR="00D974AB" w:rsidRPr="00D974AB" w:rsidRDefault="005D5A58" w:rsidP="00A067A2">
      <w:pPr>
        <w:jc w:val="both"/>
        <w:rPr>
          <w:b/>
        </w:rPr>
      </w:pPr>
      <w:r>
        <w:rPr>
          <w:b/>
        </w:rPr>
        <w:t>3</w:t>
      </w:r>
      <w:r w:rsidR="00D974AB" w:rsidRPr="00D974AB">
        <w:rPr>
          <w:b/>
        </w:rPr>
        <w:t xml:space="preserve">.ΕΡΓΑΛΕΙΑ ΠΟΣΟΤΙΚΗΣ ΕΚΤΙΜΗΣΗΣ ΤΗΣ ΔΡΑΣΤΗΡΙΟΤΗΤΑΣ </w:t>
      </w:r>
      <w:r w:rsidR="00F325B7" w:rsidRPr="00F325B7">
        <w:rPr>
          <w:b/>
        </w:rPr>
        <w:t>(</w:t>
      </w:r>
      <w:r w:rsidR="00F325B7">
        <w:rPr>
          <w:b/>
        </w:rPr>
        <w:t>Α</w:t>
      </w:r>
      <w:r w:rsidR="00F325B7">
        <w:rPr>
          <w:b/>
          <w:lang w:val="en-US"/>
        </w:rPr>
        <w:t>CTIVITY</w:t>
      </w:r>
      <w:r w:rsidR="00F325B7" w:rsidRPr="00F325B7">
        <w:rPr>
          <w:b/>
        </w:rPr>
        <w:t xml:space="preserve">) </w:t>
      </w:r>
      <w:r w:rsidR="00D974AB" w:rsidRPr="00D974AB">
        <w:rPr>
          <w:b/>
        </w:rPr>
        <w:t>ΤΗΣ ΝΙΑ</w:t>
      </w:r>
    </w:p>
    <w:p w:rsidR="00D974AB" w:rsidRPr="00D974AB" w:rsidRDefault="00D974AB" w:rsidP="00A067A2">
      <w:pPr>
        <w:jc w:val="both"/>
      </w:pPr>
      <w:r w:rsidRPr="00D974AB">
        <w:t xml:space="preserve">Η εκτίμηση της δραστηριότητας </w:t>
      </w:r>
      <w:r w:rsidR="00F325B7">
        <w:t xml:space="preserve">(ενεργότητας) </w:t>
      </w:r>
      <w:r w:rsidRPr="00D974AB">
        <w:t xml:space="preserve">της νόσου  αποτελεί θεμελιώδη προϋπόθεση για τον καθορισμό της κλινικής κατάστασης ενός ασθενούς με ΝΙΑ,  δεδομένου ότι, η παρουσία επίμονης δραστηριότητας οδηγεί συνήθως σε καταστροφική αρθροπάθεια και σε φυσική λειτουργική μειονεκτικότητα. Επιπλέον, </w:t>
      </w:r>
      <w:r w:rsidRPr="00D974AB">
        <w:rPr>
          <w:i/>
        </w:rPr>
        <w:t>η ποσοτική εκτίμηση της δραστηριότητας της νόσου διαχρονικά, είναι απαραίτητη για την εκτίμηση του αποτελέσματος κάθε θεραπευτικού σχήματος/ πρωτοκόλλου,  όχι μόνο στην καθημ</w:t>
      </w:r>
      <w:r w:rsidR="00F325B7">
        <w:rPr>
          <w:i/>
        </w:rPr>
        <w:t>ε</w:t>
      </w:r>
      <w:r w:rsidRPr="00D974AB">
        <w:rPr>
          <w:i/>
        </w:rPr>
        <w:t>ρ</w:t>
      </w:r>
      <w:r w:rsidR="00F325B7">
        <w:rPr>
          <w:i/>
        </w:rPr>
        <w:t>ινή</w:t>
      </w:r>
      <w:r w:rsidRPr="00D974AB">
        <w:rPr>
          <w:i/>
        </w:rPr>
        <w:t xml:space="preserve"> κλινική πράξη αλλά και σε όλες τις κλινικές  μελέτες</w:t>
      </w:r>
      <w:r w:rsidRPr="00D974AB">
        <w:t>.</w:t>
      </w:r>
    </w:p>
    <w:p w:rsidR="00D974AB" w:rsidRDefault="00D974AB" w:rsidP="00A067A2">
      <w:pPr>
        <w:jc w:val="both"/>
      </w:pPr>
      <w:r w:rsidRPr="00D974AB">
        <w:t xml:space="preserve"> Υπάρχουν  διάφορα «εργαλεία» εκτίμησης του επιπέδου δραστηριότητας της ΝΙΑ, που περιλαμβάνουν:  κλίμακες συνολικής εκτίμησης της κατάστασης του ασθενούς, κλίμακες μέτρησης του πόνου, προσβολή συγκεκριμένων αρθρώσεων (π.χ. προσβολή ισχίου, αυχενικής μοίρας σπονδυλικής στήλης κ.ά.), ερωτηματολόγια λειτουργικής ικανότητας, εργαστηριακούς δείκτες (δείκτες οξείας φάσης, επίπεδα </w:t>
      </w:r>
      <w:r w:rsidRPr="00D974AB">
        <w:rPr>
          <w:lang w:bidi="en-US"/>
        </w:rPr>
        <w:t>Hb</w:t>
      </w:r>
      <w:r w:rsidRPr="00D974AB">
        <w:t>, αριθμό λευκοκυττάρων/ουδετεροφίλων και αιμοπεταλίων), βάρος σώματος κ.ά. Παραθέτουμε αυτά που χρησι</w:t>
      </w:r>
      <w:r w:rsidR="003C3BFE">
        <w:t>μοποιούνται περισσότερο διεθνώς</w:t>
      </w:r>
      <w:r w:rsidRPr="00D974AB">
        <w:t>, τόσο στην καθημ</w:t>
      </w:r>
      <w:r w:rsidR="00037A43">
        <w:t>ερινή</w:t>
      </w:r>
      <w:r w:rsidRPr="00D974AB">
        <w:t xml:space="preserve"> κλινική πράξη, όσο και στην κλινική έρευνα</w:t>
      </w:r>
      <w:r w:rsidRPr="00D974AB">
        <w:rPr>
          <w:vertAlign w:val="superscript"/>
        </w:rPr>
        <w:t xml:space="preserve"> </w:t>
      </w:r>
      <w:r w:rsidR="004E5971" w:rsidRPr="009062FD">
        <w:rPr>
          <w:vertAlign w:val="superscript"/>
        </w:rPr>
        <w:t>12</w:t>
      </w:r>
      <w:r w:rsidRPr="009062FD">
        <w:t>.</w:t>
      </w:r>
    </w:p>
    <w:p w:rsidR="00A067A2" w:rsidRPr="00A067A2" w:rsidRDefault="00A067A2" w:rsidP="00A067A2">
      <w:pPr>
        <w:jc w:val="both"/>
      </w:pPr>
    </w:p>
    <w:p w:rsidR="00D974AB" w:rsidRPr="00D974AB" w:rsidRDefault="00D974AB" w:rsidP="00A067A2">
      <w:pPr>
        <w:jc w:val="both"/>
        <w:rPr>
          <w:b/>
        </w:rPr>
      </w:pPr>
      <w:r w:rsidRPr="00D974AB">
        <w:rPr>
          <w:b/>
        </w:rPr>
        <w:t xml:space="preserve">Α)  </w:t>
      </w:r>
      <w:r w:rsidRPr="00D974AB">
        <w:rPr>
          <w:b/>
          <w:lang w:bidi="en-US"/>
        </w:rPr>
        <w:t>JADAS</w:t>
      </w:r>
      <w:r w:rsidRPr="00D974AB">
        <w:rPr>
          <w:b/>
        </w:rPr>
        <w:t xml:space="preserve"> (</w:t>
      </w:r>
      <w:r w:rsidRPr="00D974AB">
        <w:rPr>
          <w:b/>
          <w:lang w:bidi="en-US"/>
        </w:rPr>
        <w:t>Juvenile</w:t>
      </w:r>
      <w:r w:rsidRPr="00D974AB">
        <w:rPr>
          <w:b/>
        </w:rPr>
        <w:t xml:space="preserve"> </w:t>
      </w:r>
      <w:r w:rsidRPr="00D974AB">
        <w:rPr>
          <w:b/>
          <w:lang w:bidi="en-US"/>
        </w:rPr>
        <w:t>Arthritis</w:t>
      </w:r>
      <w:r w:rsidRPr="00D974AB">
        <w:rPr>
          <w:b/>
        </w:rPr>
        <w:t xml:space="preserve"> </w:t>
      </w:r>
      <w:r w:rsidRPr="00D974AB">
        <w:rPr>
          <w:b/>
          <w:lang w:bidi="en-US"/>
        </w:rPr>
        <w:t>Disease</w:t>
      </w:r>
      <w:r w:rsidRPr="00D974AB">
        <w:rPr>
          <w:b/>
        </w:rPr>
        <w:t xml:space="preserve"> </w:t>
      </w:r>
      <w:r w:rsidRPr="00D974AB">
        <w:rPr>
          <w:b/>
          <w:lang w:bidi="en-US"/>
        </w:rPr>
        <w:t>Activity</w:t>
      </w:r>
      <w:r w:rsidRPr="00D974AB">
        <w:rPr>
          <w:b/>
        </w:rPr>
        <w:t xml:space="preserve"> </w:t>
      </w:r>
      <w:r w:rsidRPr="00D974AB">
        <w:rPr>
          <w:b/>
          <w:lang w:bidi="en-US"/>
        </w:rPr>
        <w:t>Score</w:t>
      </w:r>
      <w:r w:rsidRPr="00D974AB">
        <w:rPr>
          <w:b/>
        </w:rPr>
        <w:t>)*</w:t>
      </w:r>
      <w:r w:rsidR="004E5971" w:rsidRPr="009062FD">
        <w:rPr>
          <w:b/>
          <w:vertAlign w:val="superscript"/>
        </w:rPr>
        <w:t>15,16</w:t>
      </w:r>
      <w:r w:rsidRPr="009062FD">
        <w:rPr>
          <w:b/>
        </w:rPr>
        <w:t>:</w:t>
      </w:r>
      <w:r w:rsidRPr="00D974AB">
        <w:rPr>
          <w:b/>
        </w:rPr>
        <w:t xml:space="preserve"> Δείκτης δραστηριότητας της Νεανικής Αρθρίτιδας με βαθμολόγηση (</w:t>
      </w:r>
      <w:r w:rsidRPr="00D974AB">
        <w:rPr>
          <w:b/>
          <w:lang w:bidi="en-US"/>
        </w:rPr>
        <w:t>score</w:t>
      </w:r>
      <w:r w:rsidRPr="00D974AB">
        <w:rPr>
          <w:b/>
        </w:rPr>
        <w:t>)</w:t>
      </w:r>
    </w:p>
    <w:tbl>
      <w:tblPr>
        <w:tblW w:w="0" w:type="auto"/>
        <w:tblInd w:w="360" w:type="dxa"/>
        <w:tblBorders>
          <w:bottom w:val="single" w:sz="4" w:space="0" w:color="auto"/>
        </w:tblBorders>
        <w:tblLook w:val="04A0" w:firstRow="1" w:lastRow="0" w:firstColumn="1" w:lastColumn="0" w:noHBand="0" w:noVBand="1"/>
      </w:tblPr>
      <w:tblGrid>
        <w:gridCol w:w="8522"/>
      </w:tblGrid>
      <w:tr w:rsidR="00D974AB" w:rsidRPr="00A067A2" w:rsidTr="007809C8">
        <w:trPr>
          <w:trHeight w:val="2816"/>
        </w:trPr>
        <w:tc>
          <w:tcPr>
            <w:tcW w:w="8522" w:type="dxa"/>
          </w:tcPr>
          <w:p w:rsidR="00D974AB" w:rsidRPr="00A067A2" w:rsidRDefault="00D974AB" w:rsidP="00A067A2">
            <w:pPr>
              <w:numPr>
                <w:ilvl w:val="0"/>
                <w:numId w:val="8"/>
              </w:numPr>
              <w:jc w:val="both"/>
              <w:rPr>
                <w:bCs/>
                <w:lang w:bidi="en-US"/>
              </w:rPr>
            </w:pPr>
            <w:r w:rsidRPr="00A067A2">
              <w:rPr>
                <w:bCs/>
                <w:lang w:bidi="en-US"/>
              </w:rPr>
              <w:t>Σφαιρική εκτίμηση της συνολικής δραστηριότητας της νόσου (overall disease activity) από τον ιατρό, με βάση οπτική αναλογική κλίμακα (MDVAS global) από 0-10cm</w:t>
            </w:r>
          </w:p>
          <w:p w:rsidR="00D974AB" w:rsidRPr="00A067A2" w:rsidRDefault="00D974AB" w:rsidP="00A067A2">
            <w:pPr>
              <w:numPr>
                <w:ilvl w:val="0"/>
                <w:numId w:val="8"/>
              </w:numPr>
              <w:jc w:val="both"/>
              <w:rPr>
                <w:bCs/>
                <w:lang w:bidi="en-US"/>
              </w:rPr>
            </w:pPr>
            <w:r w:rsidRPr="00A067A2">
              <w:rPr>
                <w:bCs/>
                <w:lang w:bidi="en-US"/>
              </w:rPr>
              <w:t xml:space="preserve">Σφαιρική εκτίμηση της συνολικής ευεξίας (overall wellbeing) από τον γονέα/ασθενή με βάση το συνολικό score του σχετικού πεδίου από το ερωτηματολόγιο CHAQ (Childhood Health Assessment Questionnaire. Βλέπε εκτίμηση σωματικής λειτουργικής ικανότητας και συνολικής ευεξίας) </w:t>
            </w:r>
          </w:p>
          <w:p w:rsidR="00D974AB" w:rsidRPr="00A067A2" w:rsidRDefault="00D974AB" w:rsidP="00A067A2">
            <w:pPr>
              <w:numPr>
                <w:ilvl w:val="0"/>
                <w:numId w:val="8"/>
              </w:numPr>
              <w:jc w:val="both"/>
              <w:rPr>
                <w:bCs/>
                <w:lang w:bidi="en-US"/>
              </w:rPr>
            </w:pPr>
            <w:r w:rsidRPr="00A067A2">
              <w:rPr>
                <w:bCs/>
                <w:lang w:bidi="en-US"/>
              </w:rPr>
              <w:t>Αριθμός αρθρώσεων με ενεργό αρθρίτιδα (αρίθμηση από 0-71)</w:t>
            </w:r>
          </w:p>
          <w:p w:rsidR="00D974AB" w:rsidRPr="00A067A2" w:rsidRDefault="00D974AB" w:rsidP="00A067A2">
            <w:pPr>
              <w:numPr>
                <w:ilvl w:val="0"/>
                <w:numId w:val="8"/>
              </w:numPr>
              <w:jc w:val="both"/>
              <w:rPr>
                <w:bCs/>
                <w:lang w:bidi="en-US"/>
              </w:rPr>
            </w:pPr>
            <w:r w:rsidRPr="00A067A2">
              <w:rPr>
                <w:bCs/>
                <w:lang w:bidi="en-US"/>
              </w:rPr>
              <w:t>ΤΚΕ [τροποποιημένη τιμή ως εξής: (ΤΚΕ-20)/10**]</w:t>
            </w:r>
          </w:p>
          <w:p w:rsidR="00D974AB" w:rsidRPr="00A067A2" w:rsidRDefault="00D974AB" w:rsidP="00A067A2">
            <w:pPr>
              <w:jc w:val="both"/>
              <w:rPr>
                <w:bCs/>
                <w:i/>
                <w:lang w:bidi="en-US"/>
              </w:rPr>
            </w:pPr>
          </w:p>
          <w:p w:rsidR="00D974AB" w:rsidRPr="00A067A2" w:rsidRDefault="00D974AB" w:rsidP="00A067A2">
            <w:pPr>
              <w:jc w:val="both"/>
              <w:rPr>
                <w:bCs/>
                <w:lang w:bidi="en-US"/>
              </w:rPr>
            </w:pPr>
            <w:r w:rsidRPr="00A067A2">
              <w:rPr>
                <w:bCs/>
                <w:i/>
                <w:lang w:bidi="en-US"/>
              </w:rPr>
              <w:t xml:space="preserve">Συνολικό Score: </w:t>
            </w:r>
            <w:r w:rsidRPr="00A067A2">
              <w:rPr>
                <w:bCs/>
                <w:lang w:bidi="en-US"/>
              </w:rPr>
              <w:t>0-101</w:t>
            </w:r>
          </w:p>
        </w:tc>
      </w:tr>
    </w:tbl>
    <w:p w:rsidR="00D974AB" w:rsidRPr="00D974AB" w:rsidRDefault="00D974AB" w:rsidP="00A067A2">
      <w:pPr>
        <w:jc w:val="both"/>
      </w:pPr>
      <w:r w:rsidRPr="00D974AB">
        <w:t xml:space="preserve">*Το </w:t>
      </w:r>
      <w:r w:rsidRPr="00D974AB">
        <w:rPr>
          <w:lang w:bidi="en-US"/>
        </w:rPr>
        <w:t>JADAS</w:t>
      </w:r>
      <w:r w:rsidRPr="00D974AB">
        <w:t xml:space="preserve"> χρησιμοποιείται για την εκτίμηση της δραστηριότητας της νόσου σε συγκεκριμένη  χρονική στιγμή.</w:t>
      </w:r>
    </w:p>
    <w:p w:rsidR="00D974AB" w:rsidRPr="00D974AB" w:rsidRDefault="00D974AB" w:rsidP="00A067A2">
      <w:pPr>
        <w:jc w:val="both"/>
      </w:pPr>
      <w:r w:rsidRPr="00D974AB">
        <w:t>**Σε ΤΚΕ&lt;20</w:t>
      </w:r>
      <w:r w:rsidRPr="00D974AB">
        <w:rPr>
          <w:lang w:bidi="en-US"/>
        </w:rPr>
        <w:t>mm</w:t>
      </w:r>
      <w:r w:rsidRPr="00D974AB">
        <w:t>/</w:t>
      </w:r>
      <w:r w:rsidRPr="00D974AB">
        <w:rPr>
          <w:lang w:bidi="en-US"/>
        </w:rPr>
        <w:t>h</w:t>
      </w:r>
      <w:r w:rsidRPr="00D974AB">
        <w:t>,  η τιμή υπολογίζεται ως 20.</w:t>
      </w:r>
    </w:p>
    <w:p w:rsidR="00D974AB" w:rsidRPr="00D974AB" w:rsidRDefault="00D974AB" w:rsidP="00A067A2">
      <w:pPr>
        <w:jc w:val="both"/>
      </w:pPr>
    </w:p>
    <w:p w:rsidR="00D974AB" w:rsidRPr="00037A43" w:rsidRDefault="00D974AB" w:rsidP="00A067A2">
      <w:pPr>
        <w:jc w:val="both"/>
        <w:rPr>
          <w:b/>
          <w:i/>
          <w:color w:val="FF0000"/>
          <w:vertAlign w:val="superscript"/>
        </w:rPr>
      </w:pPr>
      <w:r w:rsidRPr="00D974AB">
        <w:rPr>
          <w:b/>
          <w:i/>
        </w:rPr>
        <w:t xml:space="preserve">Προτεινόμενα κατώτερα όρια του </w:t>
      </w:r>
      <w:r w:rsidRPr="00D974AB">
        <w:rPr>
          <w:b/>
          <w:i/>
          <w:lang w:bidi="en-US"/>
        </w:rPr>
        <w:t>JADAS</w:t>
      </w:r>
      <w:r w:rsidRPr="00D974AB">
        <w:rPr>
          <w:b/>
          <w:i/>
        </w:rPr>
        <w:t xml:space="preserve"> (</w:t>
      </w:r>
      <w:r w:rsidRPr="00D974AB">
        <w:rPr>
          <w:b/>
          <w:i/>
          <w:lang w:bidi="en-US"/>
        </w:rPr>
        <w:t>cut</w:t>
      </w:r>
      <w:r w:rsidRPr="00D974AB">
        <w:rPr>
          <w:b/>
          <w:i/>
        </w:rPr>
        <w:t xml:space="preserve"> </w:t>
      </w:r>
      <w:r w:rsidRPr="00D974AB">
        <w:rPr>
          <w:b/>
          <w:i/>
          <w:lang w:bidi="en-US"/>
        </w:rPr>
        <w:t>off</w:t>
      </w:r>
      <w:r w:rsidRPr="00D974AB">
        <w:rPr>
          <w:b/>
          <w:i/>
        </w:rPr>
        <w:t xml:space="preserve"> </w:t>
      </w:r>
      <w:r w:rsidRPr="00D974AB">
        <w:rPr>
          <w:b/>
          <w:i/>
          <w:lang w:bidi="en-US"/>
        </w:rPr>
        <w:t>levels</w:t>
      </w:r>
      <w:r w:rsidRPr="00D974AB">
        <w:rPr>
          <w:b/>
          <w:i/>
        </w:rPr>
        <w:t xml:space="preserve">) για τον ορισμό ανενεργού και ελάχιστα ενεργού ολιγοαρθρικής (βλέπε ταξινόμηση ασθενών με </w:t>
      </w:r>
      <w:r w:rsidRPr="00D974AB">
        <w:rPr>
          <w:b/>
          <w:i/>
          <w:lang w:bidi="en-US"/>
        </w:rPr>
        <w:t>NIA</w:t>
      </w:r>
      <w:r w:rsidRPr="00D974AB">
        <w:rPr>
          <w:b/>
          <w:i/>
        </w:rPr>
        <w:t xml:space="preserve">) και πολυαρθρικής </w:t>
      </w:r>
      <w:r w:rsidRPr="00D974AB">
        <w:rPr>
          <w:b/>
          <w:i/>
          <w:lang w:bidi="en-US"/>
        </w:rPr>
        <w:t>NIA</w:t>
      </w:r>
      <w:r w:rsidRPr="00D974AB">
        <w:rPr>
          <w:b/>
          <w:i/>
        </w:rPr>
        <w:t xml:space="preserve"> με βάση την τιμή του </w:t>
      </w:r>
      <w:r w:rsidRPr="00D974AB">
        <w:rPr>
          <w:b/>
          <w:i/>
          <w:lang w:bidi="en-US"/>
        </w:rPr>
        <w:t>score</w:t>
      </w:r>
      <w:r w:rsidRPr="00D974AB">
        <w:rPr>
          <w:b/>
          <w:i/>
        </w:rPr>
        <w:t>)</w:t>
      </w:r>
      <w:r w:rsidR="004E5971" w:rsidRPr="000307DD">
        <w:rPr>
          <w:b/>
          <w:i/>
          <w:vertAlign w:val="superscript"/>
        </w:rPr>
        <w:t>16</w:t>
      </w:r>
    </w:p>
    <w:p w:rsidR="00D974AB" w:rsidRPr="00D974AB" w:rsidRDefault="00D974AB" w:rsidP="00A067A2">
      <w:pPr>
        <w:jc w:val="both"/>
      </w:pPr>
      <w:r w:rsidRPr="00D974AB">
        <w:t xml:space="preserve">Ανενεργός  ολιγοαρθρική </w:t>
      </w:r>
      <w:r w:rsidRPr="00D974AB">
        <w:rPr>
          <w:lang w:bidi="en-US"/>
        </w:rPr>
        <w:t>NIA</w:t>
      </w:r>
      <w:r w:rsidRPr="00D974AB">
        <w:t xml:space="preserve">: </w:t>
      </w:r>
      <w:r w:rsidRPr="00D974AB">
        <w:rPr>
          <w:lang w:bidi="en-US"/>
        </w:rPr>
        <w:t>JADAS</w:t>
      </w:r>
      <w:r w:rsidRPr="00D974AB">
        <w:t xml:space="preserve">=1, Ελάχιστα ενεργός:  </w:t>
      </w:r>
      <w:r w:rsidRPr="00D974AB">
        <w:rPr>
          <w:lang w:bidi="en-US"/>
        </w:rPr>
        <w:t>JADAS</w:t>
      </w:r>
      <w:r w:rsidRPr="00D974AB">
        <w:t>=2</w:t>
      </w:r>
    </w:p>
    <w:p w:rsidR="00D974AB" w:rsidRPr="00D974AB" w:rsidRDefault="00D974AB" w:rsidP="00A067A2">
      <w:pPr>
        <w:jc w:val="both"/>
      </w:pPr>
      <w:r w:rsidRPr="00D974AB">
        <w:t xml:space="preserve">Ανενεργός  πολυαρθρική </w:t>
      </w:r>
      <w:r w:rsidRPr="00D974AB">
        <w:rPr>
          <w:lang w:bidi="en-US"/>
        </w:rPr>
        <w:t>NIA</w:t>
      </w:r>
      <w:r w:rsidRPr="00D974AB">
        <w:t xml:space="preserve">: </w:t>
      </w:r>
      <w:r w:rsidRPr="00D974AB">
        <w:rPr>
          <w:lang w:bidi="en-US"/>
        </w:rPr>
        <w:t>JADAS</w:t>
      </w:r>
      <w:r w:rsidRPr="00D974AB">
        <w:t xml:space="preserve">=2,Ελάχιστα ενεργός:  </w:t>
      </w:r>
      <w:r w:rsidRPr="00D974AB">
        <w:rPr>
          <w:lang w:bidi="en-US"/>
        </w:rPr>
        <w:t>JADAS</w:t>
      </w:r>
      <w:r w:rsidRPr="00D974AB">
        <w:t xml:space="preserve">=3.8 </w:t>
      </w:r>
    </w:p>
    <w:p w:rsidR="00D974AB" w:rsidRPr="00D974AB" w:rsidRDefault="00D974AB" w:rsidP="00A067A2">
      <w:pPr>
        <w:jc w:val="both"/>
      </w:pPr>
      <w:r w:rsidRPr="00D974AB">
        <w:t>Για τη συστηματική Ν</w:t>
      </w:r>
      <w:r w:rsidRPr="00D974AB">
        <w:rPr>
          <w:lang w:bidi="en-US"/>
        </w:rPr>
        <w:t>IA</w:t>
      </w:r>
      <w:r w:rsidRPr="00D974AB">
        <w:t>, ανάλογα όρια δεν έχουν ακόμη ορισθεί.</w:t>
      </w:r>
    </w:p>
    <w:p w:rsidR="00D974AB" w:rsidRPr="00D974AB" w:rsidRDefault="00D974AB" w:rsidP="00A067A2">
      <w:pPr>
        <w:jc w:val="both"/>
        <w:rPr>
          <w:b/>
          <w:i/>
        </w:rPr>
      </w:pPr>
    </w:p>
    <w:p w:rsidR="00D974AB" w:rsidRPr="009062FD" w:rsidRDefault="00D974AB" w:rsidP="00A067A2">
      <w:pPr>
        <w:jc w:val="both"/>
        <w:rPr>
          <w:b/>
        </w:rPr>
      </w:pPr>
      <w:r w:rsidRPr="00D974AB">
        <w:rPr>
          <w:b/>
        </w:rPr>
        <w:t xml:space="preserve">Β) </w:t>
      </w:r>
      <w:r w:rsidRPr="00D974AB">
        <w:rPr>
          <w:b/>
          <w:lang w:bidi="en-US"/>
        </w:rPr>
        <w:t>ACRpedi</w:t>
      </w:r>
      <w:r w:rsidRPr="00D974AB">
        <w:rPr>
          <w:b/>
        </w:rPr>
        <w:t>=</w:t>
      </w:r>
      <w:r w:rsidRPr="00D974AB">
        <w:rPr>
          <w:b/>
          <w:lang w:bidi="en-US"/>
        </w:rPr>
        <w:t>American</w:t>
      </w:r>
      <w:r w:rsidRPr="00D974AB">
        <w:rPr>
          <w:b/>
        </w:rPr>
        <w:t xml:space="preserve"> </w:t>
      </w:r>
      <w:r w:rsidRPr="00D974AB">
        <w:rPr>
          <w:b/>
          <w:lang w:bidi="en-US"/>
        </w:rPr>
        <w:t>College</w:t>
      </w:r>
      <w:r w:rsidRPr="00D974AB">
        <w:rPr>
          <w:b/>
        </w:rPr>
        <w:t xml:space="preserve"> </w:t>
      </w:r>
      <w:r w:rsidRPr="00D974AB">
        <w:rPr>
          <w:b/>
          <w:lang w:bidi="en-US"/>
        </w:rPr>
        <w:t>of</w:t>
      </w:r>
      <w:r w:rsidRPr="00D974AB">
        <w:rPr>
          <w:b/>
        </w:rPr>
        <w:t xml:space="preserve"> </w:t>
      </w:r>
      <w:r w:rsidRPr="00D974AB">
        <w:rPr>
          <w:b/>
          <w:lang w:bidi="en-US"/>
        </w:rPr>
        <w:t>Rheumatology</w:t>
      </w:r>
      <w:r w:rsidRPr="00D974AB">
        <w:rPr>
          <w:b/>
        </w:rPr>
        <w:t xml:space="preserve"> </w:t>
      </w:r>
      <w:r w:rsidRPr="00D974AB">
        <w:rPr>
          <w:b/>
          <w:lang w:bidi="en-US"/>
        </w:rPr>
        <w:t>Pediatric</w:t>
      </w:r>
      <w:r w:rsidRPr="00D974AB">
        <w:rPr>
          <w:b/>
        </w:rPr>
        <w:t xml:space="preserve"> (</w:t>
      </w:r>
      <w:r w:rsidRPr="00D974AB">
        <w:rPr>
          <w:b/>
          <w:lang w:bidi="en-US"/>
        </w:rPr>
        <w:t>ACRpedi</w:t>
      </w:r>
      <w:r w:rsidRPr="00D974AB">
        <w:rPr>
          <w:b/>
        </w:rPr>
        <w:t xml:space="preserve">) </w:t>
      </w:r>
      <w:r w:rsidRPr="00D974AB">
        <w:rPr>
          <w:b/>
          <w:lang w:bidi="en-US"/>
        </w:rPr>
        <w:t>criteria</w:t>
      </w:r>
      <w:r w:rsidRPr="00D974AB">
        <w:rPr>
          <w:b/>
        </w:rPr>
        <w:t xml:space="preserve"> </w:t>
      </w:r>
      <w:r w:rsidRPr="00D974AB">
        <w:rPr>
          <w:b/>
          <w:lang w:bidi="en-US"/>
        </w:rPr>
        <w:t>of</w:t>
      </w:r>
      <w:r w:rsidRPr="00D974AB">
        <w:rPr>
          <w:b/>
        </w:rPr>
        <w:t xml:space="preserve"> </w:t>
      </w:r>
      <w:r w:rsidRPr="00D974AB">
        <w:rPr>
          <w:b/>
          <w:lang w:bidi="en-US"/>
        </w:rPr>
        <w:t>JIA</w:t>
      </w:r>
      <w:r w:rsidRPr="00D974AB">
        <w:rPr>
          <w:b/>
        </w:rPr>
        <w:t xml:space="preserve"> </w:t>
      </w:r>
      <w:r w:rsidRPr="00D974AB">
        <w:rPr>
          <w:b/>
          <w:lang w:bidi="en-US"/>
        </w:rPr>
        <w:t>improvement</w:t>
      </w:r>
      <w:r w:rsidRPr="00D974AB">
        <w:rPr>
          <w:b/>
        </w:rPr>
        <w:t>: Κριτήρια βαθμολόγησης της κατάστασης δραστηριότητας της ΝΙΑ για την εκτίμηση της βελτίωσης της νόσου, διαχρονικά.</w:t>
      </w:r>
      <w:r w:rsidR="004E5971" w:rsidRPr="009062FD">
        <w:rPr>
          <w:b/>
          <w:vertAlign w:val="superscript"/>
        </w:rPr>
        <w:t>17,18</w:t>
      </w:r>
    </w:p>
    <w:p w:rsidR="00D974AB" w:rsidRPr="00A067A2" w:rsidRDefault="00D974AB" w:rsidP="00A067A2">
      <w:pPr>
        <w:jc w:val="both"/>
      </w:pPr>
      <w:r w:rsidRPr="00D974AB">
        <w:t xml:space="preserve">Τα </w:t>
      </w:r>
      <w:r w:rsidRPr="00D974AB">
        <w:rPr>
          <w:b/>
          <w:i/>
          <w:lang w:bidi="en-US"/>
        </w:rPr>
        <w:t>ACRpedi</w:t>
      </w:r>
      <w:r w:rsidRPr="00D974AB">
        <w:t xml:space="preserve">  περιλαμβάνουν έξι βασικές παραμέτρους </w:t>
      </w:r>
      <w:r w:rsidRPr="00D974AB">
        <w:rPr>
          <w:i/>
        </w:rPr>
        <w:t>(</w:t>
      </w:r>
      <w:r w:rsidRPr="00D974AB">
        <w:rPr>
          <w:i/>
          <w:lang w:bidi="en-US"/>
        </w:rPr>
        <w:t>core</w:t>
      </w:r>
      <w:r w:rsidRPr="00D974AB">
        <w:rPr>
          <w:i/>
        </w:rPr>
        <w:t xml:space="preserve"> </w:t>
      </w:r>
      <w:r w:rsidRPr="00D974AB">
        <w:rPr>
          <w:i/>
          <w:lang w:bidi="en-US"/>
        </w:rPr>
        <w:t>set</w:t>
      </w:r>
      <w:r w:rsidRPr="00D974AB">
        <w:rPr>
          <w:i/>
        </w:rPr>
        <w:t xml:space="preserve"> </w:t>
      </w:r>
      <w:r w:rsidRPr="00D974AB">
        <w:rPr>
          <w:i/>
          <w:lang w:bidi="en-US"/>
        </w:rPr>
        <w:t>of</w:t>
      </w:r>
      <w:r w:rsidRPr="00D974AB">
        <w:rPr>
          <w:i/>
        </w:rPr>
        <w:t xml:space="preserve"> </w:t>
      </w:r>
      <w:r w:rsidRPr="00D974AB">
        <w:rPr>
          <w:i/>
          <w:lang w:bidi="en-US"/>
        </w:rPr>
        <w:t>variables</w:t>
      </w:r>
      <w:r w:rsidRPr="00D974AB">
        <w:rPr>
          <w:i/>
        </w:rPr>
        <w:t>)</w:t>
      </w:r>
      <w:r w:rsidRPr="00D974AB">
        <w:rPr>
          <w:b/>
          <w:i/>
        </w:rPr>
        <w:t xml:space="preserve"> </w:t>
      </w:r>
      <w:r w:rsidRPr="00D974AB">
        <w:t xml:space="preserve">που καθιερώθηκαν από το </w:t>
      </w:r>
      <w:r w:rsidRPr="00D974AB">
        <w:rPr>
          <w:lang w:bidi="en-US"/>
        </w:rPr>
        <w:t>ACR</w:t>
      </w:r>
      <w:r w:rsidRPr="00D974AB">
        <w:t xml:space="preserve"> για την εκτίμηση της κατάστασης δραστηριότητας της ΝΙΑ, προκειμένου να καθοριστούν </w:t>
      </w:r>
      <w:r w:rsidRPr="00D974AB">
        <w:rPr>
          <w:i/>
        </w:rPr>
        <w:t xml:space="preserve">κριτήρια βαθμολόγησης της βελτίωσης της νόσου με το εκάστοτε θεραπευτικό σχήμα. </w:t>
      </w:r>
      <w:r w:rsidRPr="00D974AB">
        <w:t xml:space="preserve">Με τη χρήση αυτών των βασικών παραμέτρων ορίσθηκαν τα </w:t>
      </w:r>
      <w:r w:rsidRPr="00D974AB">
        <w:rPr>
          <w:b/>
          <w:i/>
          <w:lang w:bidi="en-US"/>
        </w:rPr>
        <w:t>ACRpedi</w:t>
      </w:r>
      <w:r w:rsidRPr="00D974AB">
        <w:rPr>
          <w:b/>
          <w:i/>
        </w:rPr>
        <w:t xml:space="preserve"> 30, </w:t>
      </w:r>
      <w:r w:rsidRPr="00D974AB">
        <w:rPr>
          <w:b/>
          <w:i/>
          <w:lang w:bidi="en-US"/>
        </w:rPr>
        <w:t>ACRpedi</w:t>
      </w:r>
      <w:r w:rsidRPr="00D974AB">
        <w:rPr>
          <w:b/>
          <w:i/>
        </w:rPr>
        <w:t xml:space="preserve"> 50, </w:t>
      </w:r>
      <w:r w:rsidRPr="00D974AB">
        <w:rPr>
          <w:b/>
          <w:i/>
          <w:lang w:bidi="en-US"/>
        </w:rPr>
        <w:t>ACRpedi</w:t>
      </w:r>
      <w:r w:rsidRPr="00D974AB">
        <w:rPr>
          <w:b/>
          <w:i/>
        </w:rPr>
        <w:t xml:space="preserve"> 70, 90, 100 </w:t>
      </w:r>
      <w:r w:rsidRPr="00D974AB">
        <w:t>κριτήρια.</w:t>
      </w:r>
    </w:p>
    <w:p w:rsidR="00D974AB" w:rsidRPr="00D974AB" w:rsidRDefault="00D974AB" w:rsidP="00A067A2">
      <w:pPr>
        <w:jc w:val="both"/>
        <w:rPr>
          <w:b/>
          <w:i/>
        </w:rPr>
      </w:pPr>
      <w:r w:rsidRPr="00D974AB">
        <w:rPr>
          <w:b/>
          <w:i/>
        </w:rPr>
        <w:t>Βασικές  παράμετροι (</w:t>
      </w:r>
      <w:r w:rsidRPr="00D974AB">
        <w:rPr>
          <w:b/>
          <w:i/>
          <w:lang w:bidi="en-US"/>
        </w:rPr>
        <w:t>core</w:t>
      </w:r>
      <w:r w:rsidRPr="00D974AB">
        <w:rPr>
          <w:b/>
          <w:i/>
        </w:rPr>
        <w:t xml:space="preserve"> </w:t>
      </w:r>
      <w:r w:rsidRPr="00D974AB">
        <w:rPr>
          <w:b/>
          <w:i/>
          <w:lang w:bidi="en-US"/>
        </w:rPr>
        <w:t>set</w:t>
      </w:r>
      <w:r w:rsidRPr="00D974AB">
        <w:rPr>
          <w:b/>
          <w:i/>
        </w:rPr>
        <w:t xml:space="preserve"> </w:t>
      </w:r>
      <w:r w:rsidRPr="00D974AB">
        <w:rPr>
          <w:b/>
          <w:i/>
          <w:lang w:bidi="en-US"/>
        </w:rPr>
        <w:t>of</w:t>
      </w:r>
      <w:r w:rsidRPr="00D974AB">
        <w:rPr>
          <w:b/>
          <w:i/>
        </w:rPr>
        <w:t xml:space="preserve"> </w:t>
      </w:r>
      <w:r w:rsidRPr="00D974AB">
        <w:rPr>
          <w:b/>
          <w:i/>
          <w:lang w:bidi="en-US"/>
        </w:rPr>
        <w:t>variables</w:t>
      </w:r>
      <w:r w:rsidRPr="00D974AB">
        <w:rPr>
          <w:b/>
          <w:i/>
        </w:rPr>
        <w:t xml:space="preserve">) εκτίμησης της δραστηριότητας κατά </w:t>
      </w:r>
      <w:r w:rsidRPr="00D974AB">
        <w:rPr>
          <w:b/>
          <w:i/>
          <w:lang w:bidi="en-US"/>
        </w:rPr>
        <w:t>ACRpedi</w:t>
      </w:r>
    </w:p>
    <w:p w:rsidR="00D974AB" w:rsidRPr="00D974AB" w:rsidRDefault="00D974AB" w:rsidP="00A067A2">
      <w:pPr>
        <w:numPr>
          <w:ilvl w:val="0"/>
          <w:numId w:val="38"/>
        </w:numPr>
        <w:jc w:val="both"/>
      </w:pPr>
      <w:r w:rsidRPr="00D974AB">
        <w:t>Σφαιρική εκτίμηση της συνολικής δραστηριότητας της νόσου (</w:t>
      </w:r>
      <w:r w:rsidRPr="00D974AB">
        <w:rPr>
          <w:lang w:bidi="en-US"/>
        </w:rPr>
        <w:t>overall</w:t>
      </w:r>
      <w:r w:rsidRPr="00D974AB">
        <w:t xml:space="preserve"> </w:t>
      </w:r>
      <w:r w:rsidRPr="00D974AB">
        <w:rPr>
          <w:lang w:bidi="en-US"/>
        </w:rPr>
        <w:t>disease</w:t>
      </w:r>
      <w:r w:rsidRPr="00D974AB">
        <w:t xml:space="preserve"> </w:t>
      </w:r>
      <w:r w:rsidRPr="00D974AB">
        <w:rPr>
          <w:lang w:bidi="en-US"/>
        </w:rPr>
        <w:t>activity</w:t>
      </w:r>
      <w:r w:rsidRPr="00D974AB">
        <w:t>) από τον ιατρό, με βάση οπτική αναλογική κλίμακα (</w:t>
      </w:r>
      <w:r w:rsidRPr="00D974AB">
        <w:rPr>
          <w:lang w:bidi="en-US"/>
        </w:rPr>
        <w:t>MDVAS</w:t>
      </w:r>
      <w:r w:rsidRPr="00D974AB">
        <w:t xml:space="preserve"> </w:t>
      </w:r>
      <w:r w:rsidRPr="00D974AB">
        <w:rPr>
          <w:lang w:bidi="en-US"/>
        </w:rPr>
        <w:t>global</w:t>
      </w:r>
      <w:r w:rsidRPr="00D974AB">
        <w:t>) από 0-10</w:t>
      </w:r>
      <w:r w:rsidRPr="00D974AB">
        <w:rPr>
          <w:lang w:bidi="en-US"/>
        </w:rPr>
        <w:t>cm</w:t>
      </w:r>
    </w:p>
    <w:p w:rsidR="00D974AB" w:rsidRPr="00D974AB" w:rsidRDefault="00D974AB" w:rsidP="00A067A2">
      <w:pPr>
        <w:numPr>
          <w:ilvl w:val="0"/>
          <w:numId w:val="38"/>
        </w:numPr>
        <w:jc w:val="both"/>
      </w:pPr>
      <w:r w:rsidRPr="00D974AB">
        <w:t>Σφαιρική εκτίμηση της συνολικής ευεξίας (</w:t>
      </w:r>
      <w:r w:rsidRPr="00D974AB">
        <w:rPr>
          <w:lang w:bidi="en-US"/>
        </w:rPr>
        <w:t>overall</w:t>
      </w:r>
      <w:r w:rsidRPr="00D974AB">
        <w:t xml:space="preserve"> </w:t>
      </w:r>
      <w:r w:rsidRPr="00D974AB">
        <w:rPr>
          <w:lang w:bidi="en-US"/>
        </w:rPr>
        <w:t>wellbeing</w:t>
      </w:r>
      <w:r w:rsidRPr="00D974AB">
        <w:t xml:space="preserve">) από τον γονέα/ασθενή με βάση το συνολικό </w:t>
      </w:r>
      <w:r w:rsidRPr="00D974AB">
        <w:rPr>
          <w:lang w:bidi="en-US"/>
        </w:rPr>
        <w:t>score</w:t>
      </w:r>
      <w:r w:rsidRPr="00D974AB">
        <w:t xml:space="preserve"> του σχετικού πεδίου από το ερωτηματολόγιο </w:t>
      </w:r>
      <w:r w:rsidRPr="00D974AB">
        <w:rPr>
          <w:lang w:bidi="en-US"/>
        </w:rPr>
        <w:t>CHAQ</w:t>
      </w:r>
      <w:r w:rsidRPr="00D974AB">
        <w:t xml:space="preserve"> (</w:t>
      </w:r>
      <w:r w:rsidRPr="00D974AB">
        <w:rPr>
          <w:lang w:bidi="en-US"/>
        </w:rPr>
        <w:t>Childhood</w:t>
      </w:r>
      <w:r w:rsidRPr="00D974AB">
        <w:t xml:space="preserve"> </w:t>
      </w:r>
      <w:r w:rsidRPr="00D974AB">
        <w:rPr>
          <w:lang w:bidi="en-US"/>
        </w:rPr>
        <w:t>Health</w:t>
      </w:r>
      <w:r w:rsidRPr="00D974AB">
        <w:t xml:space="preserve"> </w:t>
      </w:r>
      <w:r w:rsidRPr="00D974AB">
        <w:rPr>
          <w:lang w:bidi="en-US"/>
        </w:rPr>
        <w:t>Assessment</w:t>
      </w:r>
      <w:r w:rsidRPr="00D974AB">
        <w:t xml:space="preserve"> </w:t>
      </w:r>
      <w:r w:rsidRPr="00D974AB">
        <w:rPr>
          <w:lang w:bidi="en-US"/>
        </w:rPr>
        <w:t>Questionnaire</w:t>
      </w:r>
      <w:r w:rsidRPr="00D974AB">
        <w:t>. Βλέπε εκτίμηση σωματικής λειτουργικής ικανότητας και συνολικής ευεξίας)</w:t>
      </w:r>
    </w:p>
    <w:p w:rsidR="00D974AB" w:rsidRPr="00D974AB" w:rsidRDefault="00D974AB" w:rsidP="00A067A2">
      <w:pPr>
        <w:numPr>
          <w:ilvl w:val="0"/>
          <w:numId w:val="38"/>
        </w:numPr>
        <w:jc w:val="both"/>
      </w:pPr>
      <w:r w:rsidRPr="00D974AB">
        <w:t>Αριθμός αρθρώσεων με ενεργό αρθρίτιδα*</w:t>
      </w:r>
    </w:p>
    <w:p w:rsidR="00D974AB" w:rsidRPr="00D974AB" w:rsidRDefault="00D974AB" w:rsidP="00A067A2">
      <w:pPr>
        <w:numPr>
          <w:ilvl w:val="0"/>
          <w:numId w:val="38"/>
        </w:numPr>
        <w:jc w:val="both"/>
      </w:pPr>
      <w:r w:rsidRPr="00D974AB">
        <w:t>Αριθμός  αρθρώσεων με περιορισμένη κινητικότητα**</w:t>
      </w:r>
    </w:p>
    <w:p w:rsidR="00D974AB" w:rsidRPr="00D974AB" w:rsidRDefault="00D974AB" w:rsidP="00A067A2">
      <w:pPr>
        <w:numPr>
          <w:ilvl w:val="0"/>
          <w:numId w:val="38"/>
        </w:numPr>
        <w:jc w:val="both"/>
        <w:rPr>
          <w:b/>
          <w:i/>
        </w:rPr>
      </w:pPr>
      <w:r w:rsidRPr="00D974AB">
        <w:t>Εργαστηριακός δείκτης δραστηριότητας (Ταχύτητα καθίζησης ερυθρών)</w:t>
      </w:r>
    </w:p>
    <w:p w:rsidR="00D974AB" w:rsidRPr="00D974AB" w:rsidRDefault="00901D48" w:rsidP="00A067A2">
      <w:pPr>
        <w:jc w:val="both"/>
      </w:pPr>
      <w:r>
        <w:rPr>
          <w:b/>
          <w:i/>
          <w:lang w:val="en-GB"/>
        </w:rPr>
        <w:pict>
          <v:shapetype id="_x0000_t32" coordsize="21600,21600" o:spt="32" o:oned="t" path="m,l21600,21600e" filled="f">
            <v:path arrowok="t" fillok="f" o:connecttype="none"/>
            <o:lock v:ext="edit" shapetype="t"/>
          </v:shapetype>
          <v:shape id="_x0000_s1027" type="#_x0000_t32" style="position:absolute;left:0;text-align:left;margin-left:.45pt;margin-top:11.95pt;width:166.4pt;height:0;z-index:251660288" o:connectortype="straight"/>
        </w:pict>
      </w:r>
    </w:p>
    <w:p w:rsidR="00D974AB" w:rsidRPr="00D974AB" w:rsidRDefault="00D974AB" w:rsidP="00A067A2">
      <w:pPr>
        <w:jc w:val="both"/>
      </w:pPr>
      <w:r w:rsidRPr="00D974AB">
        <w:t>*,**: Βλέπε ορισμούς.</w:t>
      </w:r>
    </w:p>
    <w:p w:rsidR="00D974AB" w:rsidRPr="00D974AB" w:rsidRDefault="00D974AB" w:rsidP="00A067A2">
      <w:pPr>
        <w:jc w:val="both"/>
        <w:rPr>
          <w:b/>
          <w:i/>
        </w:rPr>
      </w:pPr>
    </w:p>
    <w:p w:rsidR="00D974AB" w:rsidRPr="00D974AB" w:rsidRDefault="00D974AB" w:rsidP="00A067A2">
      <w:pPr>
        <w:jc w:val="both"/>
        <w:rPr>
          <w:b/>
          <w:i/>
        </w:rPr>
      </w:pPr>
      <w:r w:rsidRPr="00D974AB">
        <w:rPr>
          <w:b/>
          <w:i/>
        </w:rPr>
        <w:t>Βαθμολόγηση βελτίωσης</w:t>
      </w:r>
    </w:p>
    <w:p w:rsidR="00D974AB" w:rsidRPr="00D974AB" w:rsidRDefault="00D974AB" w:rsidP="00A067A2">
      <w:pPr>
        <w:jc w:val="both"/>
        <w:rPr>
          <w:u w:val="single"/>
        </w:rPr>
      </w:pPr>
      <w:r w:rsidRPr="00D974AB">
        <w:rPr>
          <w:u w:val="single"/>
        </w:rPr>
        <w:t xml:space="preserve">ACRpedi30: </w:t>
      </w:r>
    </w:p>
    <w:p w:rsidR="00D974AB" w:rsidRPr="00D974AB" w:rsidRDefault="00D974AB" w:rsidP="00A067A2">
      <w:pPr>
        <w:jc w:val="both"/>
      </w:pPr>
      <w:r w:rsidRPr="00D974AB">
        <w:t xml:space="preserve">Βελτίωση από την έναρξη της θεραπείας κατά ≥30% σε τουλάχιστον 3/6 βασικές παραμέτρους  και σε περίπτωση συστηματικής </w:t>
      </w:r>
      <w:r w:rsidRPr="00D974AB">
        <w:rPr>
          <w:lang w:bidi="en-US"/>
        </w:rPr>
        <w:t>NIA</w:t>
      </w:r>
      <w:r w:rsidRPr="00D974AB">
        <w:t>, ταυτόχρονη  απουσία του χαρακτηριστικού διαλείποντος πυρετού κατά τη διάρκεια της προηγούμενης εβδομάδας (βλέπε ορισμούς, ανενεργός νόσος), χωρίς ταυτόχρονη επιδείνωση κατά 30% σε περισσότερες από μία παραμέτρους.</w:t>
      </w:r>
    </w:p>
    <w:p w:rsidR="00D974AB" w:rsidRPr="00D974AB" w:rsidRDefault="00D974AB" w:rsidP="00A067A2">
      <w:pPr>
        <w:jc w:val="both"/>
        <w:rPr>
          <w:u w:val="single"/>
        </w:rPr>
      </w:pPr>
      <w:r w:rsidRPr="00D974AB">
        <w:rPr>
          <w:u w:val="single"/>
        </w:rPr>
        <w:t>ACRpedi50:</w:t>
      </w:r>
    </w:p>
    <w:p w:rsidR="00D974AB" w:rsidRPr="00D974AB" w:rsidRDefault="00D974AB" w:rsidP="00A067A2">
      <w:pPr>
        <w:jc w:val="both"/>
      </w:pPr>
      <w:r w:rsidRPr="00D974AB">
        <w:t xml:space="preserve">Βελτίωση από την έναρξη της θεραπείας κατά ≥50%  σε τουλάχιστον 3/6 βασικές παραμέτρους  και σε περίπτωση συστηματικής </w:t>
      </w:r>
      <w:r w:rsidRPr="00D974AB">
        <w:rPr>
          <w:lang w:bidi="en-US"/>
        </w:rPr>
        <w:t>NIA</w:t>
      </w:r>
      <w:r w:rsidRPr="00D974AB">
        <w:t>, ταυτόχρονη  απουσία του χαρακτηριστικού διαλείποντος  πυρετού κατά τη διάρκεια της προηγούμενης εβδομάδας (βλέπε ορισμούς, ανενεργός νόσος), χωρίς ταυτόχρονη επιδείνωση κατά 30% σε περισσότερες από μία παραμέτρους.</w:t>
      </w:r>
    </w:p>
    <w:p w:rsidR="00D974AB" w:rsidRPr="00D974AB" w:rsidRDefault="00D974AB" w:rsidP="00A067A2">
      <w:pPr>
        <w:jc w:val="both"/>
        <w:rPr>
          <w:u w:val="single"/>
        </w:rPr>
      </w:pPr>
      <w:r w:rsidRPr="00D974AB">
        <w:rPr>
          <w:u w:val="single"/>
        </w:rPr>
        <w:t xml:space="preserve">ACRpedi70: </w:t>
      </w:r>
    </w:p>
    <w:p w:rsidR="00D974AB" w:rsidRPr="00D974AB" w:rsidRDefault="00D974AB" w:rsidP="00A067A2">
      <w:pPr>
        <w:jc w:val="both"/>
      </w:pPr>
      <w:r w:rsidRPr="00D974AB">
        <w:t xml:space="preserve">Βελτίωση από την έναρξη της θεραπείας κατά ≥70%  σε τουλάχιστον 3/6 βασικές παραμέτρους  και σε περίπτωση συστηματικής </w:t>
      </w:r>
      <w:r w:rsidRPr="00D974AB">
        <w:rPr>
          <w:lang w:bidi="en-US"/>
        </w:rPr>
        <w:t>NIA</w:t>
      </w:r>
      <w:r w:rsidRPr="00D974AB">
        <w:t>,</w:t>
      </w:r>
      <w:r w:rsidR="0046717E">
        <w:t xml:space="preserve"> </w:t>
      </w:r>
      <w:r w:rsidRPr="00D974AB">
        <w:t>ταυτόχρονη  απουσία του χαρακτηριστικού διαλείποντος  πυρετού κατά τη διάρκεια της προηγούμενης εβδομάδας (βλέπε ορισμούς, ανενεργός νόσος), χωρίς ταυτόχρονη επιδείνωση κατά 30% σε περισσότερες από μία παραμέτρους.</w:t>
      </w:r>
    </w:p>
    <w:p w:rsidR="00D974AB" w:rsidRPr="00D974AB" w:rsidRDefault="00D974AB" w:rsidP="00A067A2">
      <w:pPr>
        <w:jc w:val="both"/>
        <w:rPr>
          <w:u w:val="single"/>
        </w:rPr>
      </w:pPr>
      <w:r w:rsidRPr="00D974AB">
        <w:rPr>
          <w:u w:val="single"/>
        </w:rPr>
        <w:t xml:space="preserve">ACRpedi90: </w:t>
      </w:r>
    </w:p>
    <w:p w:rsidR="00D974AB" w:rsidRPr="00D974AB" w:rsidRDefault="00D974AB" w:rsidP="00A067A2">
      <w:pPr>
        <w:jc w:val="both"/>
      </w:pPr>
      <w:r w:rsidRPr="00D974AB">
        <w:t xml:space="preserve">Βελτίωση από την έναρξη της θεραπείας κατά ≥90%  σε τουλάχιστον 3/6 βασικές παραμέτρους  και σε περίπτωση συστηματικής </w:t>
      </w:r>
      <w:r w:rsidRPr="00D974AB">
        <w:rPr>
          <w:lang w:bidi="en-US"/>
        </w:rPr>
        <w:t>NIA</w:t>
      </w:r>
      <w:r w:rsidRPr="00D974AB">
        <w:t>, ταυτόχρονη  απουσία του χαρακτηριστικού διαλείποντος  πυρετού κατά τη διάρκεια της προηγούμενης εβδομάδας (βλέπε ορισμούς, ανενεργός νόσος), χωρίς ταυτόχρονη επιδείνωση κατά 30% σε περισσότερες από μία παραμέτρους.</w:t>
      </w:r>
    </w:p>
    <w:p w:rsidR="00D974AB" w:rsidRPr="00D974AB" w:rsidRDefault="00D974AB" w:rsidP="00A067A2">
      <w:pPr>
        <w:jc w:val="both"/>
        <w:rPr>
          <w:u w:val="single"/>
        </w:rPr>
      </w:pPr>
      <w:r w:rsidRPr="00D974AB">
        <w:rPr>
          <w:u w:val="single"/>
        </w:rPr>
        <w:t xml:space="preserve">ACRpedi100: </w:t>
      </w:r>
    </w:p>
    <w:p w:rsidR="00D974AB" w:rsidRPr="00D974AB" w:rsidRDefault="00D974AB" w:rsidP="00A067A2">
      <w:pPr>
        <w:jc w:val="both"/>
      </w:pPr>
      <w:r w:rsidRPr="00D974AB">
        <w:t>Βελτίωση από την έναρξη της θεραπείας κατά</w:t>
      </w:r>
      <w:r w:rsidR="0046717E">
        <w:t xml:space="preserve"> </w:t>
      </w:r>
      <w:r w:rsidRPr="00D974AB">
        <w:t xml:space="preserve">100%  σε τουλάχιστον 3/6 βασικές παραμέτρους  και σε περίπτωση συστηματικής </w:t>
      </w:r>
      <w:r w:rsidRPr="00D974AB">
        <w:rPr>
          <w:lang w:bidi="en-US"/>
        </w:rPr>
        <w:t>NIA</w:t>
      </w:r>
      <w:r w:rsidRPr="00D974AB">
        <w:t>, ταυτόχρονη απουσία του χαρακτηριστικού διαλείποντος  πυρετού κατά τη διάρκεια της προηγούμενης εβδομάδας (βλέπε ορισμούς, ανενεργός νόσος), χωρίς ταυτόχρονη επιδείνωση κατά 30% σε περισσότερες  από  μία παραμέτρους.</w:t>
      </w:r>
    </w:p>
    <w:p w:rsidR="00D974AB" w:rsidRPr="00D974AB" w:rsidRDefault="00D974AB" w:rsidP="00A067A2">
      <w:pPr>
        <w:jc w:val="both"/>
        <w:rPr>
          <w:b/>
          <w:i/>
        </w:rPr>
      </w:pPr>
    </w:p>
    <w:p w:rsidR="00D974AB" w:rsidRPr="00D974AB" w:rsidRDefault="00D974AB" w:rsidP="00A067A2">
      <w:pPr>
        <w:jc w:val="both"/>
        <w:rPr>
          <w:b/>
          <w:i/>
          <w:vertAlign w:val="superscript"/>
        </w:rPr>
      </w:pPr>
      <w:r w:rsidRPr="00D974AB">
        <w:rPr>
          <w:b/>
          <w:i/>
        </w:rPr>
        <w:t>Υποτροπή  (</w:t>
      </w:r>
      <w:r w:rsidRPr="00D974AB">
        <w:rPr>
          <w:b/>
          <w:i/>
          <w:lang w:bidi="en-US"/>
        </w:rPr>
        <w:t>flare</w:t>
      </w:r>
      <w:r w:rsidRPr="00D974AB">
        <w:rPr>
          <w:b/>
          <w:i/>
        </w:rPr>
        <w:t xml:space="preserve">) Νεανικής  Ιδιοπαθούς  Αρθρίτιδας σύμφωνα με τα </w:t>
      </w:r>
      <w:r w:rsidRPr="009062FD">
        <w:rPr>
          <w:b/>
          <w:i/>
        </w:rPr>
        <w:t xml:space="preserve">ACRpedi </w:t>
      </w:r>
      <w:r w:rsidRPr="009062FD">
        <w:rPr>
          <w:b/>
          <w:i/>
          <w:vertAlign w:val="superscript"/>
        </w:rPr>
        <w:t>1</w:t>
      </w:r>
      <w:r w:rsidR="004E5971" w:rsidRPr="009062FD">
        <w:rPr>
          <w:b/>
          <w:i/>
          <w:vertAlign w:val="superscript"/>
        </w:rPr>
        <w:t>9</w:t>
      </w:r>
    </w:p>
    <w:p w:rsidR="00D974AB" w:rsidRPr="00D974AB" w:rsidRDefault="00D974AB" w:rsidP="00A067A2">
      <w:pPr>
        <w:jc w:val="both"/>
      </w:pPr>
      <w:r w:rsidRPr="00D974AB">
        <w:t>Επιδείνωση κατά τουλάχιστον 40% σε 2 από τις 6 βασικές παραμέτρους, χωρίς ταυτόχρονη βελτίωση  κατά τουλάχιστον 30%  σε περισσότερες από 1 παραμέτρους.</w:t>
      </w:r>
    </w:p>
    <w:p w:rsidR="00D974AB" w:rsidRPr="00D974AB" w:rsidRDefault="00D974AB" w:rsidP="00A067A2">
      <w:pPr>
        <w:jc w:val="both"/>
        <w:rPr>
          <w:b/>
        </w:rPr>
      </w:pPr>
    </w:p>
    <w:p w:rsidR="00D974AB" w:rsidRPr="00D974AB" w:rsidRDefault="005D5A58" w:rsidP="00A067A2">
      <w:pPr>
        <w:jc w:val="both"/>
        <w:rPr>
          <w:b/>
        </w:rPr>
      </w:pPr>
      <w:r>
        <w:rPr>
          <w:b/>
        </w:rPr>
        <w:t>4</w:t>
      </w:r>
      <w:r w:rsidR="00D974AB" w:rsidRPr="00D974AB">
        <w:rPr>
          <w:b/>
        </w:rPr>
        <w:t xml:space="preserve">. ΠΟΣΟΤΙΚΗ ΕΚΤΙΜΗΣΗ ΛΕΙΤΟΥΡΓΙΚΗΣ ΙΚΑΝΟΤΗΤΑΣ  ΚΑΙ ΓΕΝΙΚΗΣ ΕΥΕΞΙΑΣ </w:t>
      </w:r>
    </w:p>
    <w:p w:rsidR="00D974AB" w:rsidRPr="009062FD" w:rsidRDefault="00D974AB" w:rsidP="00A067A2">
      <w:pPr>
        <w:jc w:val="both"/>
        <w:rPr>
          <w:vertAlign w:val="superscript"/>
        </w:rPr>
      </w:pPr>
      <w:r w:rsidRPr="00D974AB">
        <w:t xml:space="preserve">Για την εκτίμηση της σωματικής λειτουργικής ικανότητας και της συνολικής ευεξίας από τον γονέα/ασθενή χρησιμοποιείται το παιδιατρικό ερωτηματολόγιο  ποιότητας ζωής </w:t>
      </w:r>
      <w:r w:rsidRPr="00D974AB">
        <w:rPr>
          <w:lang w:bidi="en-US"/>
        </w:rPr>
        <w:t>C</w:t>
      </w:r>
      <w:r w:rsidRPr="00D974AB">
        <w:t>-</w:t>
      </w:r>
      <w:r w:rsidRPr="00D974AB">
        <w:rPr>
          <w:lang w:bidi="en-US"/>
        </w:rPr>
        <w:t>HAQ</w:t>
      </w:r>
      <w:r w:rsidRPr="00D974AB">
        <w:t xml:space="preserve"> (</w:t>
      </w:r>
      <w:r w:rsidRPr="00D974AB">
        <w:rPr>
          <w:lang w:bidi="en-US"/>
        </w:rPr>
        <w:t>Childhood</w:t>
      </w:r>
      <w:r w:rsidRPr="00D974AB">
        <w:t xml:space="preserve"> </w:t>
      </w:r>
      <w:r w:rsidRPr="00D974AB">
        <w:rPr>
          <w:lang w:bidi="en-US"/>
        </w:rPr>
        <w:t>Health</w:t>
      </w:r>
      <w:r w:rsidRPr="00D974AB">
        <w:t xml:space="preserve"> </w:t>
      </w:r>
      <w:r w:rsidRPr="00D974AB">
        <w:rPr>
          <w:lang w:bidi="en-US"/>
        </w:rPr>
        <w:t>Assessment</w:t>
      </w:r>
      <w:r w:rsidRPr="00D974AB">
        <w:t xml:space="preserve"> </w:t>
      </w:r>
      <w:r w:rsidRPr="00D974AB">
        <w:rPr>
          <w:lang w:bidi="en-US"/>
        </w:rPr>
        <w:t>Questionnaire</w:t>
      </w:r>
      <w:r w:rsidRPr="009062FD">
        <w:t xml:space="preserve">) </w:t>
      </w:r>
      <w:r w:rsidR="004E5971" w:rsidRPr="009062FD">
        <w:rPr>
          <w:vertAlign w:val="superscript"/>
        </w:rPr>
        <w:t>20</w:t>
      </w:r>
      <w:r w:rsidRPr="009062FD">
        <w:rPr>
          <w:vertAlign w:val="superscript"/>
        </w:rPr>
        <w:t xml:space="preserve">, </w:t>
      </w:r>
      <w:r w:rsidR="004E5971" w:rsidRPr="009062FD">
        <w:rPr>
          <w:vertAlign w:val="superscript"/>
        </w:rPr>
        <w:t>21</w:t>
      </w:r>
    </w:p>
    <w:p w:rsidR="00D974AB" w:rsidRPr="00D974AB" w:rsidRDefault="00D974AB" w:rsidP="00A067A2">
      <w:pPr>
        <w:jc w:val="both"/>
      </w:pPr>
      <w:r w:rsidRPr="00D974AB">
        <w:t xml:space="preserve">Το </w:t>
      </w:r>
      <w:r w:rsidRPr="00D974AB">
        <w:rPr>
          <w:lang w:bidi="en-US"/>
        </w:rPr>
        <w:t>C</w:t>
      </w:r>
      <w:r w:rsidRPr="00D974AB">
        <w:t>-</w:t>
      </w:r>
      <w:r w:rsidRPr="00D974AB">
        <w:rPr>
          <w:lang w:bidi="en-US"/>
        </w:rPr>
        <w:t>HAQ</w:t>
      </w:r>
      <w:r w:rsidRPr="00D974AB">
        <w:t xml:space="preserve"> (για συντομία </w:t>
      </w:r>
      <w:r w:rsidRPr="00D974AB">
        <w:rPr>
          <w:lang w:bidi="en-US"/>
        </w:rPr>
        <w:t>CHAQ</w:t>
      </w:r>
      <w:r w:rsidRPr="00D974AB">
        <w:t>)</w:t>
      </w:r>
      <w:r w:rsidR="00F22408">
        <w:t xml:space="preserve"> </w:t>
      </w:r>
      <w:r w:rsidRPr="00D974AB">
        <w:t xml:space="preserve">εκτιμά ποσοτικά </w:t>
      </w:r>
      <w:r w:rsidRPr="00D974AB">
        <w:rPr>
          <w:b/>
          <w:i/>
        </w:rPr>
        <w:t>τη λειτουργικότητα του σώματος του παιδιού/εφήβου, αξιολογώντας 8 πεδία δραστηριότητας της καθημερινής ζωής:</w:t>
      </w:r>
      <w:r w:rsidRPr="00D974AB">
        <w:t xml:space="preserve">  α)Το ντύσιμο και την περιποίηση, β)την έγερση στην όρθια θέση, γ) το γεύμα, δ) το βάδισμα, ε) τη φροντίδα της υγιεινής του σώματος, στ) την προσέγγιση αντικειμένων, ζ) την ικανότητα να σφίγγει τα δάκτυλα και η) κάποιες άλλες δραστηριότητες. Το κάθε πεδίο περιλαμβάνει από 2-5 ερωτήσεις αναφορικά με την ικανότητα εκτέλεσης κάποιας δραστηριότητας, τις οποίες καλείται να απαντήσει ο γονέας/παιδί, βαθμολογώντας από </w:t>
      </w:r>
      <w:r w:rsidRPr="00D974AB">
        <w:rPr>
          <w:b/>
          <w:i/>
        </w:rPr>
        <w:t xml:space="preserve">0 το άριστο έως 3 το χειρότερο. </w:t>
      </w:r>
      <w:r w:rsidRPr="00D974AB">
        <w:t xml:space="preserve">Για κάθε πεδίο λαμβάνεται υπόψη το υψηλότερο </w:t>
      </w:r>
      <w:r w:rsidRPr="00D974AB">
        <w:rPr>
          <w:lang w:bidi="en-US"/>
        </w:rPr>
        <w:t>score</w:t>
      </w:r>
      <w:r w:rsidRPr="00D974AB">
        <w:t xml:space="preserve">. Ο μέσος όρος του αθροίσματος των 8 </w:t>
      </w:r>
      <w:r w:rsidRPr="00D974AB">
        <w:rPr>
          <w:lang w:bidi="en-US"/>
        </w:rPr>
        <w:t>scores</w:t>
      </w:r>
      <w:r w:rsidRPr="00D974AB">
        <w:t xml:space="preserve"> αντιστοιχεί στο Δείκτη  Μειονεκτικότητας (</w:t>
      </w:r>
      <w:r w:rsidRPr="00D974AB">
        <w:rPr>
          <w:lang w:bidi="en-US"/>
        </w:rPr>
        <w:t>Disability</w:t>
      </w:r>
      <w:r w:rsidRPr="00D974AB">
        <w:t xml:space="preserve"> </w:t>
      </w:r>
      <w:r w:rsidRPr="00D974AB">
        <w:rPr>
          <w:lang w:bidi="en-US"/>
        </w:rPr>
        <w:t>Index</w:t>
      </w:r>
      <w:r w:rsidRPr="00D974AB">
        <w:t xml:space="preserve">, </w:t>
      </w:r>
      <w:r w:rsidRPr="00D974AB">
        <w:rPr>
          <w:lang w:bidi="en-US"/>
        </w:rPr>
        <w:t>DI</w:t>
      </w:r>
      <w:r w:rsidRPr="00D974AB">
        <w:t>).</w:t>
      </w:r>
    </w:p>
    <w:p w:rsidR="00D974AB" w:rsidRPr="00F22408" w:rsidRDefault="00D974AB" w:rsidP="00A067A2">
      <w:pPr>
        <w:jc w:val="both"/>
      </w:pPr>
      <w:r w:rsidRPr="00D974AB">
        <w:t xml:space="preserve">Επιπλέον, το </w:t>
      </w:r>
      <w:r w:rsidRPr="00D974AB">
        <w:rPr>
          <w:lang w:bidi="en-US"/>
        </w:rPr>
        <w:t>CHAQ</w:t>
      </w:r>
      <w:r w:rsidRPr="00D974AB">
        <w:t>, εκτιμά με 2 οπτικές αναλογικές κλίμακες (</w:t>
      </w:r>
      <w:r w:rsidRPr="00D974AB">
        <w:rPr>
          <w:lang w:bidi="en-US"/>
        </w:rPr>
        <w:t>VAS</w:t>
      </w:r>
      <w:r w:rsidRPr="00D974AB">
        <w:t xml:space="preserve"> 0-10</w:t>
      </w:r>
      <w:r w:rsidRPr="00D974AB">
        <w:rPr>
          <w:lang w:bidi="en-US"/>
        </w:rPr>
        <w:t>cm</w:t>
      </w:r>
      <w:r w:rsidRPr="00D974AB">
        <w:t xml:space="preserve">) </w:t>
      </w:r>
      <w:r w:rsidR="00F22408" w:rsidRPr="00F22408">
        <w:rPr>
          <w:b/>
          <w:i/>
        </w:rPr>
        <w:t>τ</w:t>
      </w:r>
      <w:r w:rsidRPr="00F22408">
        <w:rPr>
          <w:b/>
          <w:i/>
        </w:rPr>
        <w:t>η σφαιρική εκτίμηση του γονέα/ασθενή για τον πόνο  της προηγούμενης εβδομάδος</w:t>
      </w:r>
      <w:r w:rsidRPr="00D974AB">
        <w:t xml:space="preserve"> (όπου  0= καθόλου πόνος και 10=πολύ δυνατός πόνος) και </w:t>
      </w:r>
      <w:r w:rsidRPr="00D974AB">
        <w:rPr>
          <w:b/>
          <w:i/>
        </w:rPr>
        <w:t xml:space="preserve">τη συνολική  αξιολόγηση της ευεξίας </w:t>
      </w:r>
      <w:r w:rsidR="00F22408" w:rsidRPr="00F22408">
        <w:t>(</w:t>
      </w:r>
      <w:r w:rsidRPr="00F22408">
        <w:t>όπου 0=μέγιστη ευεξία και 10= καθόλου ευεξία).</w:t>
      </w:r>
      <w:r w:rsidR="00F22408" w:rsidRPr="00F22408">
        <w:t xml:space="preserve"> </w:t>
      </w:r>
    </w:p>
    <w:p w:rsidR="00A067A2" w:rsidRDefault="00A067A2" w:rsidP="00A067A2">
      <w:pPr>
        <w:jc w:val="both"/>
        <w:rPr>
          <w:b/>
        </w:rPr>
      </w:pPr>
    </w:p>
    <w:p w:rsidR="00A067A2" w:rsidRDefault="00A067A2" w:rsidP="00A067A2">
      <w:pPr>
        <w:jc w:val="both"/>
        <w:rPr>
          <w:b/>
        </w:rPr>
      </w:pPr>
    </w:p>
    <w:p w:rsidR="00D974AB" w:rsidRPr="00D974AB" w:rsidRDefault="005D5A58" w:rsidP="00A067A2">
      <w:pPr>
        <w:jc w:val="both"/>
        <w:rPr>
          <w:b/>
        </w:rPr>
      </w:pPr>
      <w:r>
        <w:rPr>
          <w:b/>
        </w:rPr>
        <w:t>5</w:t>
      </w:r>
      <w:r w:rsidR="00D974AB" w:rsidRPr="00D974AB">
        <w:rPr>
          <w:b/>
        </w:rPr>
        <w:t>.ΤΑΞΙΝΟΜΗΣΗ ΑΣΘΕΝΩΝ ΜΕ ΝΙΑ</w:t>
      </w:r>
    </w:p>
    <w:p w:rsidR="00D974AB" w:rsidRPr="00D974AB" w:rsidRDefault="00D974AB" w:rsidP="00A067A2">
      <w:pPr>
        <w:jc w:val="both"/>
      </w:pPr>
      <w:r w:rsidRPr="00DF2F93">
        <w:rPr>
          <w:i/>
        </w:rPr>
        <w:t>Με βάση τον κλινικό φαινότυπο έναρξης της νόσου</w:t>
      </w:r>
      <w:r w:rsidRPr="00D974AB">
        <w:t xml:space="preserve"> (παρουσία συστηματικών, εξωαρθρικών εκδηλώσεων, αριθμός προσβεβλημένων αρθρώσεων στους πρώτους 6 μήνες από την έναρξη της νόσου), διακρίνονται 3 τύποι έναρξης: </w:t>
      </w:r>
      <w:r w:rsidRPr="00D974AB">
        <w:rPr>
          <w:i/>
        </w:rPr>
        <w:t xml:space="preserve">ο συστηματικός, ο ολιγοαρθρικός (&lt;5αρθρώσεις) και ο πολυαρθρικός (≥ 5 αρθρώσεις), </w:t>
      </w:r>
      <w:r w:rsidRPr="00D974AB">
        <w:t xml:space="preserve">ενώ με βάση </w:t>
      </w:r>
      <w:r w:rsidRPr="00D974AB">
        <w:rPr>
          <w:i/>
        </w:rPr>
        <w:t>όχι μόνο τον τύπο έναρξης αλλά και την πορεία της νόσου, καθώς και την παρουσία ορισμένων ορολογικών δεικτών και άλλων κλινικών εκδηλώσεων (π.χ. ψωριασικές βλάβες)</w:t>
      </w:r>
      <w:r w:rsidRPr="00D974AB">
        <w:t xml:space="preserve">, διακρίνονται </w:t>
      </w:r>
      <w:r w:rsidRPr="00D974AB">
        <w:rPr>
          <w:i/>
        </w:rPr>
        <w:t xml:space="preserve">επτά υπότυποι /κατηγορίες της νόσου </w:t>
      </w:r>
      <w:r w:rsidRPr="004E46E5">
        <w:t>(πίν.1)</w:t>
      </w:r>
      <w:r w:rsidRPr="00D974AB">
        <w:t xml:space="preserve"> σύμφωνα με την κατά </w:t>
      </w:r>
      <w:r w:rsidRPr="00D974AB">
        <w:rPr>
          <w:lang w:bidi="en-US"/>
        </w:rPr>
        <w:t>ILAR</w:t>
      </w:r>
      <w:r w:rsidRPr="00D974AB">
        <w:t xml:space="preserve"> κατάταξη (2001</w:t>
      </w:r>
      <w:r w:rsidRPr="009062FD">
        <w:t xml:space="preserve">). </w:t>
      </w:r>
      <w:r w:rsidR="004E5971" w:rsidRPr="009062FD">
        <w:rPr>
          <w:vertAlign w:val="superscript"/>
        </w:rPr>
        <w:t>2</w:t>
      </w:r>
    </w:p>
    <w:p w:rsidR="00D974AB" w:rsidRPr="00D974AB" w:rsidRDefault="00D974AB" w:rsidP="00A067A2">
      <w:pPr>
        <w:jc w:val="both"/>
      </w:pPr>
      <w:r w:rsidRPr="00D974AB">
        <w:t>Η ταξινόμηση των ασθενών με  ΝΙΑ στις κατηγορίες αυτές, έχει σκοπό να δείξει τις ομοιότητες και τις διαφορές μεταξύ τους, ώστε να διευκολύνεται η επικοινωνία μεταξύ των παιδορευματολόγων παγκοσμίως (να μιλούν δηλαδή την ίδια γλώσσα), με αποτέλεσμα την καλύτερη διεξαγωγή της έρευνας (πολυκεντρικές μελέτες) και την καλύτερη  κατανόηση της  πρόγνωσης και της θεραπευτικής αντιμετώπισης της νόσου.</w:t>
      </w:r>
      <w:r w:rsidR="004E5971" w:rsidRPr="009062FD">
        <w:rPr>
          <w:vertAlign w:val="superscript"/>
        </w:rPr>
        <w:t>4,12</w:t>
      </w:r>
    </w:p>
    <w:p w:rsidR="00D974AB" w:rsidRPr="00D974AB" w:rsidRDefault="00D974AB" w:rsidP="00A067A2">
      <w:pPr>
        <w:jc w:val="both"/>
        <w:rPr>
          <w:b/>
        </w:rPr>
      </w:pPr>
    </w:p>
    <w:p w:rsidR="00D974AB" w:rsidRPr="00D974AB" w:rsidRDefault="005D5A58" w:rsidP="00A067A2">
      <w:pPr>
        <w:jc w:val="both"/>
        <w:rPr>
          <w:b/>
          <w:vertAlign w:val="superscript"/>
        </w:rPr>
      </w:pPr>
      <w:r>
        <w:rPr>
          <w:b/>
        </w:rPr>
        <w:t>6</w:t>
      </w:r>
      <w:r w:rsidR="00D974AB" w:rsidRPr="00D974AB">
        <w:rPr>
          <w:b/>
        </w:rPr>
        <w:t xml:space="preserve">. ΔΥΣΜΕΝΕΙΣ ΠΡΟΓΝΩΣΤΙΚΟΙ ΠΑΡΑΓΟΝΤΕΣ ΚΑΙ ΕΠΙΠΕΔΑ ΔΡΑΣΤΗΡΙΟΤΗΤΑΣ ΤΗΣ </w:t>
      </w:r>
      <w:r w:rsidR="00D974AB" w:rsidRPr="00D974AB">
        <w:rPr>
          <w:b/>
          <w:lang w:bidi="en-US"/>
        </w:rPr>
        <w:t>NIA</w:t>
      </w:r>
      <w:r w:rsidR="00D974AB" w:rsidRPr="00D974AB">
        <w:rPr>
          <w:b/>
        </w:rPr>
        <w:t xml:space="preserve"> ΣΕ ΠΕΝΤΕ (5) ΟΜΑΔΕΣ ΑΣΘΕΝΩΝ  </w:t>
      </w:r>
      <w:r w:rsidR="00E73E7D">
        <w:rPr>
          <w:b/>
        </w:rPr>
        <w:t xml:space="preserve">(ΘΕΡΑΠΕΥΤΙΚΕΣ </w:t>
      </w:r>
      <w:r w:rsidR="00E73E7D" w:rsidRPr="00D974AB">
        <w:rPr>
          <w:b/>
        </w:rPr>
        <w:t>ΟΜΑΔΕΣ</w:t>
      </w:r>
      <w:r w:rsidR="00E73E7D">
        <w:rPr>
          <w:b/>
        </w:rPr>
        <w:t>)</w:t>
      </w:r>
      <w:r w:rsidR="00E73E7D" w:rsidRPr="00D974AB">
        <w:rPr>
          <w:b/>
        </w:rPr>
        <w:t xml:space="preserve"> </w:t>
      </w:r>
      <w:r w:rsidR="00D974AB" w:rsidRPr="00D974AB">
        <w:rPr>
          <w:b/>
        </w:rPr>
        <w:t>ΚΑΤΑ Α</w:t>
      </w:r>
      <w:r w:rsidR="00D974AB" w:rsidRPr="00D974AB">
        <w:rPr>
          <w:b/>
          <w:lang w:bidi="en-US"/>
        </w:rPr>
        <w:t>CR</w:t>
      </w:r>
      <w:r w:rsidR="00D974AB" w:rsidRPr="00D974AB">
        <w:rPr>
          <w:b/>
        </w:rPr>
        <w:t xml:space="preserve"> 2011</w:t>
      </w:r>
      <w:r w:rsidR="004E5971" w:rsidRPr="009062FD">
        <w:rPr>
          <w:b/>
          <w:vertAlign w:val="superscript"/>
        </w:rPr>
        <w:t>12</w:t>
      </w:r>
      <w:r w:rsidR="00D974AB" w:rsidRPr="00D974AB">
        <w:rPr>
          <w:b/>
        </w:rPr>
        <w:t xml:space="preserve"> /2013</w:t>
      </w:r>
      <w:r w:rsidR="004E5971" w:rsidRPr="009062FD">
        <w:rPr>
          <w:b/>
          <w:vertAlign w:val="superscript"/>
        </w:rPr>
        <w:t>10</w:t>
      </w:r>
    </w:p>
    <w:p w:rsidR="00D974AB" w:rsidRPr="00D974AB" w:rsidRDefault="00D974AB" w:rsidP="00A067A2">
      <w:pPr>
        <w:jc w:val="both"/>
      </w:pPr>
      <w:r w:rsidRPr="00D974AB">
        <w:t xml:space="preserve">Η ποσοτική εκτίμηση της δραστηριότητας της </w:t>
      </w:r>
      <w:r w:rsidRPr="00D974AB">
        <w:rPr>
          <w:lang w:bidi="en-US"/>
        </w:rPr>
        <w:t>NIA</w:t>
      </w:r>
      <w:r w:rsidRPr="00D974AB">
        <w:t>, σε συνδυασμό με την παρουσία ορισμένων δυσμενών προγνωστικών παραγόντων, αποτελούν καθοριστικούς παράγοντες για την επιλογή της κατάλληλης θεραπείας στις διάφορες μορφές της νόσου. Στις συστάσεις του Α</w:t>
      </w:r>
      <w:r w:rsidRPr="00D974AB">
        <w:rPr>
          <w:lang w:bidi="en-US"/>
        </w:rPr>
        <w:t>CR</w:t>
      </w:r>
      <w:r w:rsidRPr="00D974AB">
        <w:t xml:space="preserve"> για τη θεραπεία της </w:t>
      </w:r>
      <w:r w:rsidRPr="00D974AB">
        <w:rPr>
          <w:lang w:bidi="en-US"/>
        </w:rPr>
        <w:t>NIA</w:t>
      </w:r>
      <w:r w:rsidRPr="00D974AB">
        <w:t xml:space="preserve"> 2011, εκτός από τα επίπεδα δραστηριότητας της νόσου, καθορίστηκαν ορισμένοι δυσμενείς προγνωστικοί παράγοντες για 5 ομάδες ασθενών (βλέπε «θεραπευτικές ομάδες ασθενών με Ν</w:t>
      </w:r>
      <w:r w:rsidRPr="00D974AB">
        <w:rPr>
          <w:lang w:bidi="en-US"/>
        </w:rPr>
        <w:t>IA</w:t>
      </w:r>
      <w:r w:rsidRPr="00D974AB">
        <w:t>»), με βάση τα βιβλιογραφικά δεδομένα και την προσωπική εμπειρία των εμπειρογνωμόνων της Επιτροπής του Α</w:t>
      </w:r>
      <w:r w:rsidRPr="00D974AB">
        <w:rPr>
          <w:lang w:bidi="en-US"/>
        </w:rPr>
        <w:t>CR</w:t>
      </w:r>
      <w:r w:rsidRPr="00D974AB">
        <w:t xml:space="preserve"> (</w:t>
      </w:r>
      <w:r w:rsidRPr="00D974AB">
        <w:rPr>
          <w:lang w:bidi="en-US"/>
        </w:rPr>
        <w:t>Experts</w:t>
      </w:r>
      <w:r w:rsidRPr="00D974AB">
        <w:t>’</w:t>
      </w:r>
      <w:r w:rsidR="009062FD">
        <w:t xml:space="preserve"> </w:t>
      </w:r>
      <w:r w:rsidRPr="00D974AB">
        <w:rPr>
          <w:lang w:bidi="en-US"/>
        </w:rPr>
        <w:t>opinion</w:t>
      </w:r>
      <w:r w:rsidRPr="00D974AB">
        <w:t>). Οι δυσμενείς προγνωστικοί παράγοντες και τα επίπεδα δραστηριότητας της νόσου (</w:t>
      </w:r>
      <w:r w:rsidRPr="00D974AB">
        <w:rPr>
          <w:i/>
        </w:rPr>
        <w:t>χαμηλή, μέτρια, υψηλή</w:t>
      </w:r>
      <w:r w:rsidRPr="00D974AB">
        <w:t xml:space="preserve">), για κάθε μία από τις ομάδες αυτές, αναφέρονται στους </w:t>
      </w:r>
      <w:r w:rsidR="001A1911">
        <w:t>Π</w:t>
      </w:r>
      <w:r w:rsidRPr="001A1911">
        <w:t>ίνακες 2-6.</w:t>
      </w:r>
    </w:p>
    <w:p w:rsidR="00D974AB" w:rsidRPr="00D974AB" w:rsidRDefault="00D974AB" w:rsidP="00A067A2">
      <w:pPr>
        <w:jc w:val="both"/>
      </w:pPr>
    </w:p>
    <w:p w:rsidR="00D974AB" w:rsidRPr="00D974AB" w:rsidRDefault="005D5A58" w:rsidP="00A067A2">
      <w:pPr>
        <w:jc w:val="both"/>
        <w:rPr>
          <w:b/>
        </w:rPr>
      </w:pPr>
      <w:r>
        <w:rPr>
          <w:b/>
        </w:rPr>
        <w:t>7</w:t>
      </w:r>
      <w:r w:rsidR="00D974AB" w:rsidRPr="00D974AB">
        <w:rPr>
          <w:b/>
        </w:rPr>
        <w:t>.</w:t>
      </w:r>
      <w:r w:rsidR="00DF2F93" w:rsidRPr="00DF2F93">
        <w:rPr>
          <w:b/>
        </w:rPr>
        <w:t xml:space="preserve"> </w:t>
      </w:r>
      <w:r w:rsidR="00D974AB" w:rsidRPr="00D974AB">
        <w:rPr>
          <w:b/>
        </w:rPr>
        <w:t>ΑΝΤΙΜΕΤΩΠΙΣΗ ΤΗΣ ΝΙΑ</w:t>
      </w:r>
    </w:p>
    <w:p w:rsidR="00D974AB" w:rsidRPr="00D974AB" w:rsidRDefault="00D974AB" w:rsidP="00A067A2">
      <w:pPr>
        <w:jc w:val="both"/>
      </w:pPr>
      <w:r w:rsidRPr="00D974AB">
        <w:t xml:space="preserve">Η αντιμετώπιση της ΝΙΑ είναι γενικά πολύπλευρη διαδικασία. Περιλαμβάνει: </w:t>
      </w:r>
    </w:p>
    <w:p w:rsidR="00D974AB" w:rsidRPr="00D974AB" w:rsidRDefault="00D974AB" w:rsidP="00A067A2">
      <w:pPr>
        <w:jc w:val="both"/>
      </w:pPr>
      <w:r w:rsidRPr="00D974AB">
        <w:t xml:space="preserve">1. </w:t>
      </w:r>
      <w:r w:rsidRPr="00D974AB">
        <w:rPr>
          <w:i/>
          <w:lang w:bidi="en-US"/>
        </w:rPr>
        <w:t>T</w:t>
      </w:r>
      <w:r w:rsidRPr="00D974AB">
        <w:rPr>
          <w:i/>
        </w:rPr>
        <w:t>η φαρμακευτική αγωγή</w:t>
      </w:r>
      <w:r w:rsidRPr="00D974AB">
        <w:t xml:space="preserve"> με συνθετικά και βιολογικά τροποποιητικά της νόσου φάρμακα (</w:t>
      </w:r>
      <w:r w:rsidRPr="00D974AB">
        <w:rPr>
          <w:lang w:bidi="en-US"/>
        </w:rPr>
        <w:t>Disease</w:t>
      </w:r>
      <w:r w:rsidRPr="00D974AB">
        <w:t xml:space="preserve"> </w:t>
      </w:r>
      <w:r w:rsidRPr="00D974AB">
        <w:rPr>
          <w:lang w:bidi="en-US"/>
        </w:rPr>
        <w:t>Modifying</w:t>
      </w:r>
      <w:r w:rsidRPr="00D974AB">
        <w:t xml:space="preserve"> </w:t>
      </w:r>
      <w:r w:rsidRPr="00D974AB">
        <w:rPr>
          <w:lang w:bidi="en-US"/>
        </w:rPr>
        <w:t>Antirheumatic</w:t>
      </w:r>
      <w:r w:rsidRPr="00D974AB">
        <w:t xml:space="preserve"> </w:t>
      </w:r>
      <w:r w:rsidRPr="00D974AB">
        <w:rPr>
          <w:lang w:bidi="en-US"/>
        </w:rPr>
        <w:t>Drugs</w:t>
      </w:r>
      <w:r w:rsidRPr="00D974AB">
        <w:t xml:space="preserve"> ή </w:t>
      </w:r>
      <w:r w:rsidRPr="00D974AB">
        <w:rPr>
          <w:lang w:bidi="en-US"/>
        </w:rPr>
        <w:t>DMARDS</w:t>
      </w:r>
      <w:r w:rsidR="00632B8B">
        <w:t>, Πίνακας 7)</w:t>
      </w:r>
      <w:r w:rsidRPr="00D974AB">
        <w:t>, μη στεροειδή αντιφλεγμονώδη (</w:t>
      </w:r>
      <w:r w:rsidRPr="00D974AB">
        <w:rPr>
          <w:lang w:bidi="en-US"/>
        </w:rPr>
        <w:t>NSAID</w:t>
      </w:r>
      <w:r w:rsidRPr="00D974AB">
        <w:t xml:space="preserve"> ή ΜΣΑΦ</w:t>
      </w:r>
      <w:r w:rsidR="00632B8B">
        <w:t>, Πίνακας 8</w:t>
      </w:r>
      <w:r w:rsidRPr="00D974AB">
        <w:t>) και γλυκοκορτικοστεροειδή (</w:t>
      </w:r>
      <w:r w:rsidRPr="00D974AB">
        <w:rPr>
          <w:lang w:bidi="en-US"/>
        </w:rPr>
        <w:t>GCS</w:t>
      </w:r>
      <w:r w:rsidRPr="00D974AB">
        <w:t xml:space="preserve"> ή ΚΣ</w:t>
      </w:r>
      <w:r w:rsidR="00632B8B">
        <w:t>, Πίνακας 9</w:t>
      </w:r>
      <w:r w:rsidRPr="00D974AB">
        <w:t>) συστηματικά και τοπικά (ενδοαρθρικά, ενδοφθαλμικά</w:t>
      </w:r>
      <w:r w:rsidR="00632B8B">
        <w:t>, Πίνακας 10</w:t>
      </w:r>
      <w:r w:rsidRPr="00D974AB">
        <w:t>).</w:t>
      </w:r>
    </w:p>
    <w:p w:rsidR="00D974AB" w:rsidRPr="00E73E7D" w:rsidRDefault="00D974AB" w:rsidP="00A067A2">
      <w:pPr>
        <w:jc w:val="both"/>
        <w:rPr>
          <w:color w:val="FF0000"/>
        </w:rPr>
      </w:pPr>
      <w:r w:rsidRPr="00D974AB">
        <w:t xml:space="preserve"> 2. </w:t>
      </w:r>
      <w:r w:rsidRPr="00D974AB">
        <w:rPr>
          <w:i/>
          <w:lang w:bidi="en-US"/>
        </w:rPr>
        <w:t>T</w:t>
      </w:r>
      <w:r w:rsidRPr="00D974AB">
        <w:rPr>
          <w:i/>
        </w:rPr>
        <w:t xml:space="preserve">η μη φαρμακευτική αγωγή, </w:t>
      </w:r>
      <w:r w:rsidRPr="00D974AB">
        <w:t>όπως, τις ορθοπ</w:t>
      </w:r>
      <w:r w:rsidR="00DF2F93">
        <w:t>αι</w:t>
      </w:r>
      <w:r w:rsidRPr="00D974AB">
        <w:t>δικές και ορθοτεχνικές παρεμβάσεις, τα φυσικά μέσα θεραπείας (φυσικοθεραπεία, υδροθεραπεία), την εργασιοθεραπεία, και την ψυχο-κοινωνική υποστήριξη τόσο των παιδιών, όσο και των γονέων τους (εξίσου σημαντική).</w:t>
      </w:r>
      <w:r w:rsidRPr="009062FD">
        <w:rPr>
          <w:vertAlign w:val="superscript"/>
        </w:rPr>
        <w:t>1,</w:t>
      </w:r>
      <w:r w:rsidR="004E5971" w:rsidRPr="009062FD">
        <w:rPr>
          <w:vertAlign w:val="superscript"/>
        </w:rPr>
        <w:t>3</w:t>
      </w:r>
    </w:p>
    <w:p w:rsidR="00D974AB" w:rsidRPr="00D974AB" w:rsidRDefault="00D974AB" w:rsidP="00A067A2">
      <w:pPr>
        <w:jc w:val="both"/>
      </w:pPr>
    </w:p>
    <w:p w:rsidR="000E59C5" w:rsidRDefault="000E59C5" w:rsidP="00A067A2">
      <w:pPr>
        <w:jc w:val="both"/>
        <w:rPr>
          <w:b/>
          <w:i/>
        </w:rPr>
      </w:pPr>
    </w:p>
    <w:p w:rsidR="000E59C5" w:rsidRDefault="000E59C5" w:rsidP="00A067A2">
      <w:pPr>
        <w:jc w:val="both"/>
        <w:rPr>
          <w:b/>
          <w:i/>
        </w:rPr>
      </w:pPr>
    </w:p>
    <w:p w:rsidR="000E59C5" w:rsidRDefault="000E59C5" w:rsidP="00A067A2">
      <w:pPr>
        <w:jc w:val="both"/>
        <w:rPr>
          <w:b/>
          <w:i/>
        </w:rPr>
      </w:pPr>
    </w:p>
    <w:p w:rsidR="00D974AB" w:rsidRPr="00D974AB" w:rsidRDefault="005D5A58" w:rsidP="00A067A2">
      <w:pPr>
        <w:jc w:val="both"/>
        <w:rPr>
          <w:i/>
        </w:rPr>
      </w:pPr>
      <w:r>
        <w:rPr>
          <w:b/>
          <w:i/>
        </w:rPr>
        <w:t>7</w:t>
      </w:r>
      <w:r w:rsidR="00D974AB" w:rsidRPr="00D974AB">
        <w:rPr>
          <w:b/>
          <w:i/>
        </w:rPr>
        <w:t>Α. ΓΕΝΙΚΕΣ ΟΔΗΓΙΕΣ ΓΙΑ ΤΗ ΦΑΡΜΑΚΕΥΤΙΚΗ ΑΓΩΓΗ</w:t>
      </w:r>
    </w:p>
    <w:p w:rsidR="00D974AB" w:rsidRPr="00E73E7D" w:rsidRDefault="00D974AB" w:rsidP="00A067A2">
      <w:pPr>
        <w:jc w:val="both"/>
        <w:rPr>
          <w:color w:val="FF0000"/>
        </w:rPr>
      </w:pPr>
      <w:r w:rsidRPr="00D974AB">
        <w:rPr>
          <w:b/>
        </w:rPr>
        <w:t xml:space="preserve">1. </w:t>
      </w:r>
      <w:r w:rsidRPr="00D974AB">
        <w:t xml:space="preserve">Τα </w:t>
      </w:r>
      <w:r w:rsidRPr="00D974AB">
        <w:rPr>
          <w:lang w:bidi="en-US"/>
        </w:rPr>
        <w:t>DMARDs</w:t>
      </w:r>
      <w:r w:rsidRPr="00D974AB">
        <w:t xml:space="preserve">, διακρίνονται στα συνθετικά και τα βιολογικά </w:t>
      </w:r>
      <w:r w:rsidRPr="00D974AB">
        <w:rPr>
          <w:lang w:bidi="en-US"/>
        </w:rPr>
        <w:t>DMARDs</w:t>
      </w:r>
      <w:r w:rsidRPr="00D974AB">
        <w:t xml:space="preserve"> ή βιολογικούς  παράγοντες. Τα DMARDs επιβραδύνουν την ακτινολογική εξέλιξη της νόσου  και  είναι απαραίτητα τουλάχιστον στα 2/3 των περιπτώσεων.</w:t>
      </w:r>
      <w:r w:rsidR="004E5971" w:rsidRPr="009062FD">
        <w:rPr>
          <w:vertAlign w:val="superscript"/>
        </w:rPr>
        <w:t>3</w:t>
      </w:r>
    </w:p>
    <w:p w:rsidR="00D974AB" w:rsidRPr="00D974AB" w:rsidRDefault="00D974AB" w:rsidP="00A067A2">
      <w:pPr>
        <w:jc w:val="both"/>
        <w:rPr>
          <w:b/>
        </w:rPr>
      </w:pPr>
    </w:p>
    <w:p w:rsidR="00D974AB" w:rsidRPr="00D974AB" w:rsidRDefault="00D974AB" w:rsidP="00A067A2">
      <w:pPr>
        <w:jc w:val="both"/>
      </w:pPr>
      <w:r w:rsidRPr="00D974AB">
        <w:rPr>
          <w:b/>
        </w:rPr>
        <w:t xml:space="preserve">2. </w:t>
      </w:r>
      <w:r w:rsidRPr="00D974AB">
        <w:rPr>
          <w:b/>
          <w:i/>
        </w:rPr>
        <w:t xml:space="preserve">Το </w:t>
      </w:r>
      <w:r w:rsidRPr="00D974AB">
        <w:rPr>
          <w:b/>
          <w:i/>
          <w:lang w:bidi="en-US"/>
        </w:rPr>
        <w:t>DMARD</w:t>
      </w:r>
      <w:r w:rsidRPr="00D974AB">
        <w:rPr>
          <w:b/>
          <w:i/>
        </w:rPr>
        <w:t xml:space="preserve"> εκλογής για τη </w:t>
      </w:r>
      <w:r w:rsidRPr="00D974AB">
        <w:rPr>
          <w:b/>
          <w:i/>
          <w:lang w:bidi="en-US"/>
        </w:rPr>
        <w:t>NIA</w:t>
      </w:r>
      <w:r w:rsidRPr="00D974AB">
        <w:rPr>
          <w:b/>
          <w:i/>
        </w:rPr>
        <w:t xml:space="preserve"> είναι η μεθοτρεξάτη</w:t>
      </w:r>
      <w:r w:rsidRPr="00D974AB">
        <w:rPr>
          <w:b/>
        </w:rPr>
        <w:t xml:space="preserve">. </w:t>
      </w:r>
      <w:r w:rsidRPr="00D974AB">
        <w:t xml:space="preserve">Επαρκής θεραπευτική δοκιμή των </w:t>
      </w:r>
      <w:r w:rsidRPr="00D974AB">
        <w:rPr>
          <w:lang w:bidi="en-US"/>
        </w:rPr>
        <w:t>DMARDs</w:t>
      </w:r>
      <w:r w:rsidRPr="00D974AB">
        <w:t xml:space="preserve"> θεωρείται η θεραπεία διάρκειας τουλάχιστον 3 μηνών στις συνιστώμενες δόσεις </w:t>
      </w:r>
      <w:r w:rsidRPr="001A1911">
        <w:t>(</w:t>
      </w:r>
      <w:r w:rsidR="001A1911" w:rsidRPr="001A1911">
        <w:t>Π</w:t>
      </w:r>
      <w:r w:rsidRPr="001A1911">
        <w:t>ίν</w:t>
      </w:r>
      <w:r w:rsidR="001A1911" w:rsidRPr="001A1911">
        <w:t>.</w:t>
      </w:r>
      <w:r w:rsidRPr="001A1911">
        <w:t xml:space="preserve"> </w:t>
      </w:r>
      <w:r w:rsidR="001A1911" w:rsidRPr="001A1911">
        <w:t>7</w:t>
      </w:r>
      <w:r w:rsidRPr="001A1911">
        <w:t>).</w:t>
      </w:r>
      <w:r w:rsidRPr="00D974AB">
        <w:t xml:space="preserve"> Οι συνδυασμοί των </w:t>
      </w:r>
      <w:r w:rsidRPr="00D974AB">
        <w:rPr>
          <w:lang w:bidi="en-US"/>
        </w:rPr>
        <w:t>DMARDs</w:t>
      </w:r>
      <w:r w:rsidRPr="00D974AB">
        <w:t xml:space="preserve"> θα πρέπει να χρησιμοποιούνται επί αποτυχίας της μονοθεραπείας  με μεθοτρεξάτη, εκτός και αν υπάρχουν αντενδείξεις για τη χορήγησή τους. </w:t>
      </w:r>
    </w:p>
    <w:p w:rsidR="00D974AB" w:rsidRPr="00D974AB" w:rsidRDefault="00D974AB" w:rsidP="00A067A2">
      <w:pPr>
        <w:jc w:val="both"/>
      </w:pPr>
    </w:p>
    <w:p w:rsidR="00D974AB" w:rsidRPr="00D974AB" w:rsidRDefault="00D974AB" w:rsidP="00A067A2">
      <w:pPr>
        <w:jc w:val="both"/>
      </w:pPr>
      <w:r w:rsidRPr="00D974AB">
        <w:rPr>
          <w:b/>
        </w:rPr>
        <w:t xml:space="preserve">3. </w:t>
      </w:r>
      <w:r w:rsidRPr="00D974AB">
        <w:t xml:space="preserve">Η χορήγηση βιολογικών παραγόντων για τη θεραπεία της </w:t>
      </w:r>
      <w:r w:rsidRPr="00D974AB">
        <w:rPr>
          <w:b/>
          <w:i/>
        </w:rPr>
        <w:t xml:space="preserve">διαγνωσμένης </w:t>
      </w:r>
      <w:r w:rsidRPr="00D974AB">
        <w:rPr>
          <w:b/>
          <w:i/>
          <w:lang w:bidi="en-US"/>
        </w:rPr>
        <w:t>NIA</w:t>
      </w:r>
      <w:r w:rsidRPr="00D974AB">
        <w:rPr>
          <w:b/>
        </w:rPr>
        <w:t xml:space="preserve"> </w:t>
      </w:r>
      <w:r w:rsidRPr="00D974AB">
        <w:t>συστήνεται:</w:t>
      </w:r>
    </w:p>
    <w:p w:rsidR="00E73E7D" w:rsidRDefault="00D974AB" w:rsidP="00A067A2">
      <w:pPr>
        <w:jc w:val="both"/>
      </w:pPr>
      <w:r w:rsidRPr="00D974AB">
        <w:t xml:space="preserve">Σε όλες κατηγορίες των ασθενών με πολυαρθρική πορεία, ανεξαρτήτως της παρουσίας ή μη </w:t>
      </w:r>
      <w:r w:rsidRPr="00D974AB">
        <w:rPr>
          <w:lang w:bidi="en-US"/>
        </w:rPr>
        <w:t>RF</w:t>
      </w:r>
      <w:r w:rsidRPr="00D974AB">
        <w:t xml:space="preserve">, αλλά με παρουσία δυσμενών προγνωστικών παραγόντων και υψηλή δραστηριότητα της νόσου </w:t>
      </w:r>
      <w:r w:rsidRPr="001A1911">
        <w:t xml:space="preserve">(βλέπε </w:t>
      </w:r>
      <w:r w:rsidR="001A1911">
        <w:t>Π</w:t>
      </w:r>
      <w:r w:rsidRPr="001A1911">
        <w:t>ίνακες 3,4),</w:t>
      </w:r>
      <w:r w:rsidRPr="00D974AB">
        <w:t xml:space="preserve"> σε ασθενείς με συστηματικές εκδηλώσεις με ή χωρίς αρθρίτιδα καθώς και σε επίμονα ενεργό ραγοειδίτιδα, (εξωαρθρική εκδήλωση της </w:t>
      </w:r>
      <w:r w:rsidRPr="00D974AB">
        <w:rPr>
          <w:lang w:bidi="en-US"/>
        </w:rPr>
        <w:t>NIA</w:t>
      </w:r>
      <w:r w:rsidRPr="00D974AB">
        <w:t xml:space="preserve">) που είναι ανθεκτική στα άλλα </w:t>
      </w:r>
      <w:r w:rsidRPr="00D974AB">
        <w:rPr>
          <w:lang w:bidi="en-US"/>
        </w:rPr>
        <w:t>DMARDs</w:t>
      </w:r>
      <w:r w:rsidRPr="00D974AB">
        <w:t xml:space="preserve">, ανεξάρτητα από την παρουσία ή μη αρθρίτιδας </w:t>
      </w:r>
      <w:r w:rsidR="004E5971" w:rsidRPr="009062FD">
        <w:rPr>
          <w:vertAlign w:val="superscript"/>
        </w:rPr>
        <w:t>7,12</w:t>
      </w:r>
      <w:r w:rsidR="00E73E7D" w:rsidRPr="00E73E7D">
        <w:rPr>
          <w:b/>
          <w:i/>
          <w:u w:val="single"/>
        </w:rPr>
        <w:t xml:space="preserve"> </w:t>
      </w:r>
      <w:r w:rsidR="00E73E7D" w:rsidRPr="00D974AB">
        <w:rPr>
          <w:b/>
          <w:i/>
          <w:u w:val="single"/>
        </w:rPr>
        <w:t>και εφόσον</w:t>
      </w:r>
      <w:r w:rsidR="00E73E7D" w:rsidRPr="00E73E7D">
        <w:t xml:space="preserve"> </w:t>
      </w:r>
      <w:r w:rsidR="00E73E7D">
        <w:t>έ</w:t>
      </w:r>
      <w:r w:rsidR="00E73E7D" w:rsidRPr="00D974AB">
        <w:t>χουν αποτύχει στη θεραπεία:</w:t>
      </w:r>
    </w:p>
    <w:p w:rsidR="00D974AB" w:rsidRPr="00D974AB" w:rsidRDefault="00F57DE9" w:rsidP="00A067A2">
      <w:pPr>
        <w:jc w:val="both"/>
      </w:pPr>
      <w:r w:rsidRPr="00D974AB">
        <w:t xml:space="preserve">με </w:t>
      </w:r>
      <w:r w:rsidR="00D974AB" w:rsidRPr="00D974AB">
        <w:sym w:font="Symbol" w:char="F0B3"/>
      </w:r>
      <w:r w:rsidR="00D974AB" w:rsidRPr="00D974AB">
        <w:t xml:space="preserve">2 κλασσικά </w:t>
      </w:r>
      <w:r w:rsidR="00D974AB" w:rsidRPr="00D974AB">
        <w:rPr>
          <w:lang w:bidi="en-US"/>
        </w:rPr>
        <w:t>DMARDs</w:t>
      </w:r>
      <w:r w:rsidR="00D974AB" w:rsidRPr="00D974AB">
        <w:t xml:space="preserve"> ή συνδυασμούς αυτών επί απουσίας δυσμενών προγνωστικών παραγόντων</w:t>
      </w:r>
      <w:r>
        <w:t>,</w:t>
      </w:r>
      <w:r w:rsidR="00D974AB" w:rsidRPr="00D974AB">
        <w:t xml:space="preserve"> </w:t>
      </w:r>
    </w:p>
    <w:p w:rsidR="00D974AB" w:rsidRPr="00F57DE9" w:rsidRDefault="00F57DE9" w:rsidP="00A067A2">
      <w:pPr>
        <w:jc w:val="both"/>
        <w:rPr>
          <w:u w:val="single"/>
        </w:rPr>
      </w:pPr>
      <w:r w:rsidRPr="00F57DE9">
        <w:t>ή</w:t>
      </w:r>
      <w:r>
        <w:t xml:space="preserve"> </w:t>
      </w:r>
      <w:r w:rsidRPr="00D974AB">
        <w:t xml:space="preserve">με </w:t>
      </w:r>
      <w:r w:rsidR="00D974AB" w:rsidRPr="00D974AB">
        <w:sym w:font="Symbol" w:char="F0B3"/>
      </w:r>
      <w:r w:rsidR="00D974AB" w:rsidRPr="00D974AB">
        <w:t xml:space="preserve">1 </w:t>
      </w:r>
      <w:r w:rsidR="00D974AB" w:rsidRPr="00D974AB">
        <w:rPr>
          <w:lang w:bidi="en-US"/>
        </w:rPr>
        <w:t>DMARD</w:t>
      </w:r>
      <w:r w:rsidR="00D974AB" w:rsidRPr="00D974AB">
        <w:t xml:space="preserve"> </w:t>
      </w:r>
      <w:r w:rsidR="00E73E7D">
        <w:t xml:space="preserve">επί </w:t>
      </w:r>
      <w:r w:rsidR="00D974AB" w:rsidRPr="00D974AB">
        <w:t>παρουσία</w:t>
      </w:r>
      <w:r w:rsidR="00E73E7D">
        <w:t>ς</w:t>
      </w:r>
      <w:r w:rsidR="00D974AB" w:rsidRPr="00D974AB">
        <w:t xml:space="preserve"> δυσμενών προγνωστικών παραγόντων</w:t>
      </w:r>
      <w:r>
        <w:t>,</w:t>
      </w:r>
      <w:r w:rsidR="00D974AB" w:rsidRPr="00D974AB">
        <w:t xml:space="preserve"> </w:t>
      </w:r>
    </w:p>
    <w:p w:rsidR="00E73E7D" w:rsidRPr="00D974AB" w:rsidRDefault="00F57DE9" w:rsidP="00E73E7D">
      <w:pPr>
        <w:jc w:val="both"/>
      </w:pPr>
      <w:r w:rsidRPr="00F57DE9">
        <w:t>ή</w:t>
      </w:r>
      <w:r w:rsidR="00E73E7D" w:rsidRPr="00F57DE9">
        <w:t xml:space="preserve"> </w:t>
      </w:r>
      <w:r w:rsidR="00E73E7D" w:rsidRPr="00D974AB">
        <w:t xml:space="preserve">σε περίπτωση αποδεδειγμένης αντένδειξης ή δυσανεξίας ή τοξικότητας της θεραπείας με </w:t>
      </w:r>
      <w:r w:rsidR="00E73E7D" w:rsidRPr="00D974AB">
        <w:rPr>
          <w:lang w:bidi="en-US"/>
        </w:rPr>
        <w:t>DMARDs</w:t>
      </w:r>
    </w:p>
    <w:p w:rsidR="00F57DE9" w:rsidRDefault="00F57DE9" w:rsidP="00A067A2">
      <w:pPr>
        <w:jc w:val="both"/>
        <w:rPr>
          <w:b/>
          <w:u w:val="single"/>
        </w:rPr>
      </w:pPr>
    </w:p>
    <w:p w:rsidR="00D974AB" w:rsidRPr="009062FD" w:rsidRDefault="00D974AB" w:rsidP="00A067A2">
      <w:pPr>
        <w:jc w:val="both"/>
      </w:pPr>
      <w:r w:rsidRPr="00D974AB">
        <w:rPr>
          <w:b/>
        </w:rPr>
        <w:t xml:space="preserve">4. </w:t>
      </w:r>
      <w:r w:rsidRPr="00D974AB">
        <w:t xml:space="preserve">Οι </w:t>
      </w:r>
      <w:r w:rsidRPr="00D974AB">
        <w:rPr>
          <w:b/>
          <w:i/>
        </w:rPr>
        <w:t>εγκεκριμένοι (κατ’ αλφαβητική σειρά) βιολογικοί παράγοντες</w:t>
      </w:r>
      <w:r w:rsidRPr="00D974AB">
        <w:rPr>
          <w:b/>
        </w:rPr>
        <w:t xml:space="preserve"> </w:t>
      </w:r>
      <w:r w:rsidRPr="00D974AB">
        <w:t>για τη θεραπεία της Ν</w:t>
      </w:r>
      <w:r w:rsidRPr="00D974AB">
        <w:rPr>
          <w:lang w:bidi="en-US"/>
        </w:rPr>
        <w:t>IA</w:t>
      </w:r>
      <w:r w:rsidRPr="00D974AB">
        <w:t xml:space="preserve"> στην Ευρώπη (ΕΜΑ)</w:t>
      </w:r>
      <w:r w:rsidR="00A117AE" w:rsidRPr="009062FD">
        <w:rPr>
          <w:b/>
          <w:vertAlign w:val="superscript"/>
        </w:rPr>
        <w:t>22</w:t>
      </w:r>
      <w:r w:rsidRPr="00D974AB">
        <w:rPr>
          <w:b/>
        </w:rPr>
        <w:t xml:space="preserve"> </w:t>
      </w:r>
      <w:r w:rsidRPr="00D974AB">
        <w:t xml:space="preserve">είναι μέχρι στιγμής το </w:t>
      </w:r>
      <w:r w:rsidRPr="00D974AB">
        <w:rPr>
          <w:lang w:bidi="en-US"/>
        </w:rPr>
        <w:t>Abatacept</w:t>
      </w:r>
      <w:r w:rsidRPr="00D974AB">
        <w:t>, το Α</w:t>
      </w:r>
      <w:r w:rsidRPr="00D974AB">
        <w:rPr>
          <w:lang w:bidi="en-US"/>
        </w:rPr>
        <w:t>dalimumab</w:t>
      </w:r>
      <w:r w:rsidRPr="00D974AB">
        <w:t xml:space="preserve">, το </w:t>
      </w:r>
      <w:r w:rsidRPr="00D974AB">
        <w:rPr>
          <w:lang w:bidi="en-US"/>
        </w:rPr>
        <w:t>Canakinumab</w:t>
      </w:r>
      <w:r w:rsidRPr="00D974AB">
        <w:t xml:space="preserve">, το </w:t>
      </w:r>
      <w:r w:rsidRPr="00D974AB">
        <w:rPr>
          <w:lang w:bidi="en-US"/>
        </w:rPr>
        <w:t>Etanercept</w:t>
      </w:r>
      <w:r w:rsidRPr="00D974AB">
        <w:t xml:space="preserve">, και το </w:t>
      </w:r>
      <w:r w:rsidRPr="00D974AB">
        <w:rPr>
          <w:lang w:bidi="en-US"/>
        </w:rPr>
        <w:t>Tocilizumab</w:t>
      </w:r>
      <w:r w:rsidRPr="00D974AB">
        <w:t xml:space="preserve"> </w:t>
      </w:r>
      <w:r w:rsidRPr="001A1911">
        <w:t>(Πίν</w:t>
      </w:r>
      <w:r w:rsidR="001A1911" w:rsidRPr="001A1911">
        <w:t>.</w:t>
      </w:r>
      <w:r w:rsidRPr="001A1911">
        <w:t xml:space="preserve"> </w:t>
      </w:r>
      <w:r w:rsidR="001A1911" w:rsidRPr="001A1911">
        <w:t>8</w:t>
      </w:r>
      <w:r w:rsidRPr="001A1911">
        <w:t>).</w:t>
      </w:r>
      <w:r w:rsidRPr="00D974AB">
        <w:t xml:space="preserve"> Ωστόσο, έχουν χρησιμοποιηθεί με επιτυχία και συστήνονται από εμπειρογνώμονες και άλλοι βιολογικοί παράγοντες που έχουν πάρει προς το παρόν ένδειξη μόνο σε ενήλικες με αρθρίτιδες διαφόρων μορφών, (όπως Ρευματοειδή Αρθρίτιδα, σπονδυλορθρίτιδα ή αρθρίτιδα στα  πλαίσια φλεγμονώδους νόσου του εντέρου). Αυτοί είναι (κατ’ αλφαβητική σειρά) το </w:t>
      </w:r>
      <w:r w:rsidRPr="00D974AB">
        <w:rPr>
          <w:lang w:bidi="en-US"/>
        </w:rPr>
        <w:t>Anakinra</w:t>
      </w:r>
      <w:r w:rsidRPr="00D974AB">
        <w:t xml:space="preserve">, το </w:t>
      </w:r>
      <w:r w:rsidRPr="00D974AB">
        <w:rPr>
          <w:lang w:bidi="en-US"/>
        </w:rPr>
        <w:t>Infliximab</w:t>
      </w:r>
      <w:r w:rsidRPr="00D974AB">
        <w:t xml:space="preserve">, το </w:t>
      </w:r>
      <w:r w:rsidRPr="00D974AB">
        <w:rPr>
          <w:lang w:bidi="en-US"/>
        </w:rPr>
        <w:t>Rilonacept</w:t>
      </w:r>
      <w:r w:rsidRPr="00D974AB">
        <w:t xml:space="preserve"> (δεν κυκλοφορεί στην Ελλάδα) και το </w:t>
      </w:r>
      <w:r w:rsidRPr="00D974AB">
        <w:rPr>
          <w:lang w:bidi="en-US"/>
        </w:rPr>
        <w:t>Rituximab</w:t>
      </w:r>
      <w:r w:rsidRPr="00D974AB">
        <w:t xml:space="preserve"> (μόνον επί αποτυχίας των προαναφερθέντων παραγόντων). </w:t>
      </w:r>
      <w:r w:rsidRPr="009062FD">
        <w:rPr>
          <w:vertAlign w:val="superscript"/>
        </w:rPr>
        <w:t>3,</w:t>
      </w:r>
      <w:r w:rsidR="00A117AE" w:rsidRPr="009062FD">
        <w:rPr>
          <w:vertAlign w:val="superscript"/>
        </w:rPr>
        <w:t>6-8,22</w:t>
      </w:r>
      <w:r w:rsidRPr="009062FD">
        <w:rPr>
          <w:vertAlign w:val="superscript"/>
        </w:rPr>
        <w:t>,</w:t>
      </w:r>
      <w:r w:rsidR="00A117AE" w:rsidRPr="009062FD">
        <w:rPr>
          <w:vertAlign w:val="superscript"/>
        </w:rPr>
        <w:t>23</w:t>
      </w:r>
    </w:p>
    <w:p w:rsidR="00D974AB" w:rsidRPr="00F57DE9" w:rsidRDefault="00D974AB" w:rsidP="00A067A2">
      <w:pPr>
        <w:jc w:val="both"/>
        <w:rPr>
          <w:bCs/>
          <w:color w:val="FF0000"/>
        </w:rPr>
      </w:pPr>
      <w:r w:rsidRPr="00D974AB">
        <w:rPr>
          <w:b/>
        </w:rPr>
        <w:t xml:space="preserve">5. </w:t>
      </w:r>
      <w:r w:rsidRPr="00D974AB">
        <w:t xml:space="preserve">Σε ασθενείς  με αντένδειξη, δυσανεξία ή τοξικότητα στα </w:t>
      </w:r>
      <w:r w:rsidRPr="00D974AB">
        <w:rPr>
          <w:lang w:bidi="en-US"/>
        </w:rPr>
        <w:t>DMARDs</w:t>
      </w:r>
      <w:r w:rsidRPr="00D974AB">
        <w:t xml:space="preserve"> (κυρίως στη μεθοτρεξάτη, κυκλοσπορίνη ή λεφλουνομίδη) ενδείκνυται η χορήγηση, ως  μονοθεραπεία, των βιολογικών παραγόντων </w:t>
      </w:r>
      <w:r w:rsidRPr="00D974AB">
        <w:rPr>
          <w:lang w:bidi="en-US"/>
        </w:rPr>
        <w:t>Adalimumab</w:t>
      </w:r>
      <w:r w:rsidRPr="00D974AB">
        <w:t xml:space="preserve">, </w:t>
      </w:r>
      <w:r w:rsidRPr="00D974AB">
        <w:rPr>
          <w:lang w:bidi="en-US"/>
        </w:rPr>
        <w:t>Anakinra</w:t>
      </w:r>
      <w:r w:rsidRPr="00D974AB">
        <w:t xml:space="preserve">, </w:t>
      </w:r>
      <w:r w:rsidRPr="00D974AB">
        <w:rPr>
          <w:lang w:bidi="en-US"/>
        </w:rPr>
        <w:t>Canakinumab</w:t>
      </w:r>
      <w:r w:rsidRPr="00D974AB">
        <w:t xml:space="preserve">, </w:t>
      </w:r>
      <w:r w:rsidRPr="00D974AB">
        <w:rPr>
          <w:lang w:bidi="en-US"/>
        </w:rPr>
        <w:t>Etanercept</w:t>
      </w:r>
      <w:r w:rsidRPr="00D974AB">
        <w:t xml:space="preserve"> και  </w:t>
      </w:r>
      <w:r w:rsidRPr="00D974AB">
        <w:rPr>
          <w:lang w:bidi="en-US"/>
        </w:rPr>
        <w:t>Tocilizumab</w:t>
      </w:r>
      <w:r w:rsidRPr="00D974AB">
        <w:t>, κατά περίπτωση</w:t>
      </w:r>
      <w:r w:rsidR="00F57DE9">
        <w:t>.</w:t>
      </w:r>
      <w:r w:rsidR="00A117AE" w:rsidRPr="009062FD">
        <w:rPr>
          <w:vertAlign w:val="superscript"/>
        </w:rPr>
        <w:t>12</w:t>
      </w:r>
    </w:p>
    <w:p w:rsidR="00D974AB" w:rsidRPr="00F57DE9" w:rsidRDefault="00D974AB" w:rsidP="00A067A2">
      <w:pPr>
        <w:jc w:val="both"/>
        <w:rPr>
          <w:color w:val="FF0000"/>
        </w:rPr>
      </w:pPr>
      <w:r w:rsidRPr="00D974AB">
        <w:rPr>
          <w:b/>
        </w:rPr>
        <w:t>6.</w:t>
      </w:r>
      <w:r w:rsidRPr="00D974AB">
        <w:t xml:space="preserve"> Μεταξύ των βιολογικών παραγόντων υπάρχουν επιμέρους διαφορές στην αποτελεσματικότητα, ασφάλεια και στον τρόπο χορήγησης (ανάλογα με την κατηγορία της </w:t>
      </w:r>
      <w:r w:rsidRPr="00D974AB">
        <w:rPr>
          <w:lang w:bidi="en-US"/>
        </w:rPr>
        <w:t>NIA</w:t>
      </w:r>
      <w:r w:rsidRPr="00D974AB">
        <w:t xml:space="preserve">) που πρέπει να συνεκτιμώνται κατά την επιλογή της θεραπείας. </w:t>
      </w:r>
      <w:r w:rsidRPr="00D974AB">
        <w:rPr>
          <w:bCs/>
        </w:rPr>
        <w:t xml:space="preserve">Η επιλογή του βιολογικού παράγοντα στηρίζεται στην ηλικία του ασθενή, στην κατηγορία της </w:t>
      </w:r>
      <w:r w:rsidRPr="00D974AB">
        <w:rPr>
          <w:bCs/>
          <w:lang w:val="en-US"/>
        </w:rPr>
        <w:t>NIA</w:t>
      </w:r>
      <w:r w:rsidRPr="00D974AB">
        <w:rPr>
          <w:bCs/>
        </w:rPr>
        <w:t xml:space="preserve">, σε συνυπάρχοντες παράγοντες κινδύνου και ξεκινά με φάρμακα που έχουν πάρει ένδειξη στη </w:t>
      </w:r>
      <w:r w:rsidRPr="00D974AB">
        <w:rPr>
          <w:bCs/>
          <w:lang w:val="en-US"/>
        </w:rPr>
        <w:t>NIA</w:t>
      </w:r>
      <w:r w:rsidRPr="009062FD">
        <w:rPr>
          <w:bCs/>
        </w:rPr>
        <w:t>.</w:t>
      </w:r>
      <w:r w:rsidRPr="009062FD">
        <w:rPr>
          <w:bCs/>
          <w:vertAlign w:val="superscript"/>
        </w:rPr>
        <w:t>2</w:t>
      </w:r>
      <w:r w:rsidR="00A117AE" w:rsidRPr="009062FD">
        <w:rPr>
          <w:bCs/>
          <w:vertAlign w:val="superscript"/>
        </w:rPr>
        <w:t>4</w:t>
      </w:r>
    </w:p>
    <w:p w:rsidR="00D974AB" w:rsidRPr="00F57DE9" w:rsidRDefault="00D974AB" w:rsidP="00A067A2">
      <w:pPr>
        <w:jc w:val="both"/>
        <w:rPr>
          <w:i/>
          <w:color w:val="FF0000"/>
        </w:rPr>
      </w:pPr>
      <w:r w:rsidRPr="00D974AB">
        <w:rPr>
          <w:b/>
        </w:rPr>
        <w:t>7.</w:t>
      </w:r>
      <w:r w:rsidRPr="00D974AB">
        <w:t xml:space="preserve"> Ασθενείς που παίρνουν αγωγή με </w:t>
      </w:r>
      <w:r w:rsidR="0053659E">
        <w:t xml:space="preserve">συνθετικά </w:t>
      </w:r>
      <w:r w:rsidR="0053659E" w:rsidRPr="00D974AB">
        <w:t>ή/και βιολογικ</w:t>
      </w:r>
      <w:r w:rsidR="0053659E">
        <w:t>ά</w:t>
      </w:r>
      <w:r w:rsidR="0053659E" w:rsidRPr="00D974AB">
        <w:t xml:space="preserve"> </w:t>
      </w:r>
      <w:r w:rsidRPr="00D974AB">
        <w:rPr>
          <w:lang w:bidi="en-US"/>
        </w:rPr>
        <w:t>DMARDs</w:t>
      </w:r>
      <w:r w:rsidRPr="00D974AB">
        <w:t xml:space="preserve"> πρέπει να παρακολουθούνται με ευρέως αποδεκτά </w:t>
      </w:r>
      <w:r w:rsidR="0053659E">
        <w:t xml:space="preserve">διεθνή </w:t>
      </w:r>
      <w:r w:rsidRPr="00D974AB">
        <w:t xml:space="preserve">εργαλεία εκτίμησης της κατάστασης  δραστηριότητας της νόσου (π.χ. </w:t>
      </w:r>
      <w:r w:rsidRPr="00D974AB">
        <w:rPr>
          <w:lang w:bidi="en-US"/>
        </w:rPr>
        <w:t>JADAS</w:t>
      </w:r>
      <w:r w:rsidRPr="00D974AB">
        <w:t xml:space="preserve">, </w:t>
      </w:r>
      <w:r w:rsidRPr="00D974AB">
        <w:rPr>
          <w:lang w:bidi="en-US"/>
        </w:rPr>
        <w:t>ACRpedi</w:t>
      </w:r>
      <w:r w:rsidRPr="00D974AB">
        <w:t xml:space="preserve">) κάθε 1-3 μήνες μετά την έναρξη της  θεραπείας  και κάθε 3-6 μήνες μετά την επίτευξη ύφεσης ή χαμηλής δραστηριότητας  της νόσου. </w:t>
      </w:r>
      <w:r w:rsidRPr="00D974AB">
        <w:rPr>
          <w:bCs/>
        </w:rPr>
        <w:t xml:space="preserve">Η θεραπεία αυτή συνεχίζεται, εφόσον οι ασθενείς έχουν τουλάχιστον </w:t>
      </w:r>
      <w:r w:rsidRPr="00D974AB">
        <w:rPr>
          <w:bCs/>
          <w:lang w:val="en-US"/>
        </w:rPr>
        <w:t>ACRpedi</w:t>
      </w:r>
      <w:r w:rsidRPr="00D974AB">
        <w:rPr>
          <w:bCs/>
        </w:rPr>
        <w:t xml:space="preserve"> 30 μετά από 3μήνες θεραπείας καθώς και σε ασθενείς με συστηματική </w:t>
      </w:r>
      <w:r w:rsidRPr="00D974AB">
        <w:rPr>
          <w:bCs/>
          <w:lang w:val="en-US"/>
        </w:rPr>
        <w:t>NIA</w:t>
      </w:r>
      <w:r w:rsidRPr="00D974AB">
        <w:rPr>
          <w:bCs/>
        </w:rPr>
        <w:t xml:space="preserve"> που με τη θεραπεία  ελέγχθηκαν οι συστηματικές τους εκδηλώσεις. </w:t>
      </w:r>
      <w:r w:rsidRPr="00F57DE9">
        <w:rPr>
          <w:bCs/>
          <w:i/>
        </w:rPr>
        <w:t>Προς το παρόν δεν υπάρχουν κατευθυντήριες οδηγίες για τον τρόπο  ελάττωσης ή το χρόνο διακοπής των βιολογικών παραγόντων. Η ελάττωση της δόσης ή η διακοπή αυτών των θεραπειών εξατομικεύεται, ανάλογα με την περίπτωση, και συνήθως δεν επιχειρείται πριν από τη 2ετία ύφεσης υπό θεραπεία.</w:t>
      </w:r>
      <w:r w:rsidRPr="009062FD">
        <w:rPr>
          <w:bCs/>
          <w:i/>
          <w:vertAlign w:val="superscript"/>
        </w:rPr>
        <w:t>2</w:t>
      </w:r>
      <w:r w:rsidR="00A117AE" w:rsidRPr="009062FD">
        <w:rPr>
          <w:bCs/>
          <w:i/>
          <w:vertAlign w:val="superscript"/>
        </w:rPr>
        <w:t>4</w:t>
      </w:r>
    </w:p>
    <w:p w:rsidR="00D974AB" w:rsidRPr="00D974AB" w:rsidRDefault="00D974AB" w:rsidP="00A067A2">
      <w:pPr>
        <w:jc w:val="both"/>
      </w:pPr>
    </w:p>
    <w:p w:rsidR="00D974AB" w:rsidRPr="00D974AB" w:rsidRDefault="00D974AB" w:rsidP="00A067A2">
      <w:pPr>
        <w:jc w:val="both"/>
      </w:pPr>
      <w:r w:rsidRPr="00D974AB">
        <w:rPr>
          <w:b/>
        </w:rPr>
        <w:t xml:space="preserve">8. </w:t>
      </w:r>
      <w:r w:rsidRPr="00D974AB">
        <w:t>Ο στόχος της σύγχρονης αντιμετώπισης της ΝΙΑ είναι η όσο το δυνατόν ταχύτερη επίτευξη ανενεργού ή ελάχιστα ενεργού νόσου (βλέπε «ορισμούς») για να αποφευχθούν μόνιμες μυοσκελετικές βλάβες και μελλοντικές αναπηρίες. Σε ασθενείς που δεν επιτυγχάνεται ο στόχος</w:t>
      </w:r>
      <w:r w:rsidR="005E6155" w:rsidRPr="005E6155">
        <w:t xml:space="preserve"> </w:t>
      </w:r>
      <w:r w:rsidR="005E6155" w:rsidRPr="00D974AB">
        <w:t>αυτός</w:t>
      </w:r>
      <w:r w:rsidRPr="00D974AB">
        <w:t xml:space="preserve">, συνιστάται αλλαγή της θεραπευτικής αγωγής. </w:t>
      </w:r>
    </w:p>
    <w:p w:rsidR="00D974AB" w:rsidRPr="005E6155" w:rsidRDefault="00D974AB" w:rsidP="00A067A2">
      <w:pPr>
        <w:jc w:val="both"/>
        <w:rPr>
          <w:color w:val="FF0000"/>
        </w:rPr>
      </w:pPr>
      <w:r w:rsidRPr="00D974AB">
        <w:t xml:space="preserve">Με βάση πρόσφατα βιβλιογραφικά δεδομένα, η τάση, ως προς τη φαρμακευτική αγωγή, είναι η, όσο το δυνατόν ενωρίτερα, έναρξη της αγωγής.   Επιπλέον, στις μορφές που έχουν πολυαρθρική πορεία,  η αγωγή πρέπει να είναι εξαρχής επιθετική. </w:t>
      </w:r>
      <w:r w:rsidRPr="009062FD">
        <w:rPr>
          <w:vertAlign w:val="superscript"/>
        </w:rPr>
        <w:t>2</w:t>
      </w:r>
      <w:r w:rsidR="00A117AE" w:rsidRPr="009062FD">
        <w:rPr>
          <w:vertAlign w:val="superscript"/>
        </w:rPr>
        <w:t>5</w:t>
      </w:r>
      <w:r w:rsidRPr="009062FD">
        <w:rPr>
          <w:vertAlign w:val="superscript"/>
        </w:rPr>
        <w:t>,2</w:t>
      </w:r>
      <w:r w:rsidR="00A117AE" w:rsidRPr="009062FD">
        <w:rPr>
          <w:vertAlign w:val="superscript"/>
        </w:rPr>
        <w:t>6</w:t>
      </w:r>
    </w:p>
    <w:p w:rsidR="00D974AB" w:rsidRPr="009062FD" w:rsidRDefault="00D974AB" w:rsidP="00A067A2">
      <w:pPr>
        <w:jc w:val="both"/>
      </w:pPr>
      <w:r w:rsidRPr="00D974AB">
        <w:rPr>
          <w:b/>
        </w:rPr>
        <w:t>9.</w:t>
      </w:r>
      <w:r w:rsidRPr="00D974AB">
        <w:t xml:space="preserve"> Η αποτελεσματικότητα των βιολογικών παραγόντων αναμένεται στις πρώτες 16-24 εβδομάδες αγωγής. Τότε πρέπει να ποσοτικοποιείται το αποτέλεσμα κατά </w:t>
      </w:r>
      <w:r w:rsidRPr="00D974AB">
        <w:rPr>
          <w:lang w:bidi="en-US"/>
        </w:rPr>
        <w:t>ACRpedi</w:t>
      </w:r>
      <w:r w:rsidRPr="00D974AB">
        <w:t xml:space="preserve"> και να λαμβάνεται θεραπευτική απόφαση (π</w:t>
      </w:r>
      <w:r w:rsidR="005B6273">
        <w:t>.</w:t>
      </w:r>
      <w:r w:rsidRPr="00D974AB">
        <w:t>χ</w:t>
      </w:r>
      <w:r w:rsidR="005B6273">
        <w:t>.</w:t>
      </w:r>
      <w:r w:rsidRPr="00D974AB">
        <w:t xml:space="preserve"> </w:t>
      </w:r>
      <w:r w:rsidR="005B6273">
        <w:t xml:space="preserve">εάν το </w:t>
      </w:r>
      <w:r w:rsidRPr="00D974AB">
        <w:rPr>
          <w:lang w:bidi="en-US"/>
        </w:rPr>
        <w:t>score</w:t>
      </w:r>
      <w:r w:rsidRPr="00D974AB">
        <w:t xml:space="preserve"> </w:t>
      </w:r>
      <w:r w:rsidRPr="00D974AB">
        <w:rPr>
          <w:lang w:bidi="en-US"/>
        </w:rPr>
        <w:t>ACRpedi</w:t>
      </w:r>
      <w:r w:rsidRPr="00D974AB">
        <w:t>&lt;30, αλλαγή θεραπείας).</w:t>
      </w:r>
      <w:r w:rsidR="00A117AE" w:rsidRPr="009062FD">
        <w:rPr>
          <w:bCs/>
          <w:vertAlign w:val="superscript"/>
        </w:rPr>
        <w:t>12</w:t>
      </w:r>
      <w:r w:rsidR="00B62FC1" w:rsidRPr="009062FD">
        <w:rPr>
          <w:bCs/>
          <w:vertAlign w:val="superscript"/>
        </w:rPr>
        <w:t>,</w:t>
      </w:r>
      <w:r w:rsidR="00A117AE" w:rsidRPr="009062FD">
        <w:rPr>
          <w:bCs/>
          <w:vertAlign w:val="superscript"/>
        </w:rPr>
        <w:t>17</w:t>
      </w:r>
    </w:p>
    <w:p w:rsidR="00D974AB" w:rsidRPr="005E6155" w:rsidRDefault="00D974AB" w:rsidP="00A067A2">
      <w:pPr>
        <w:jc w:val="both"/>
        <w:rPr>
          <w:color w:val="FF0000"/>
        </w:rPr>
      </w:pPr>
      <w:r w:rsidRPr="00D974AB">
        <w:rPr>
          <w:b/>
        </w:rPr>
        <w:t xml:space="preserve">10. </w:t>
      </w:r>
      <w:r w:rsidRPr="00D974AB">
        <w:t>Επί αποτυχίας του πρώτου αντί-ΤΝ</w:t>
      </w:r>
      <w:r w:rsidRPr="00D974AB">
        <w:rPr>
          <w:lang w:bidi="en-US"/>
        </w:rPr>
        <w:t>F</w:t>
      </w:r>
      <w:r w:rsidRPr="00D974AB">
        <w:t xml:space="preserve"> παράγοντα, θεωρούνται</w:t>
      </w:r>
      <w:r w:rsidR="00B62FC1">
        <w:t>,</w:t>
      </w:r>
      <w:r w:rsidRPr="00D974AB">
        <w:t xml:space="preserve"> </w:t>
      </w:r>
      <w:r w:rsidR="00B62FC1">
        <w:t xml:space="preserve">ως </w:t>
      </w:r>
      <w:r w:rsidRPr="005E6155">
        <w:t>αποδεκτές</w:t>
      </w:r>
      <w:r w:rsidRPr="00D974AB">
        <w:t xml:space="preserve"> πρακτικές</w:t>
      </w:r>
      <w:r w:rsidR="00B62FC1">
        <w:t>,</w:t>
      </w:r>
      <w:r w:rsidRPr="00D974AB">
        <w:t xml:space="preserve"> η αλλαγή σε 2</w:t>
      </w:r>
      <w:r w:rsidRPr="00D974AB">
        <w:rPr>
          <w:vertAlign w:val="superscript"/>
        </w:rPr>
        <w:t>ο</w:t>
      </w:r>
      <w:r w:rsidR="00B62FC1">
        <w:rPr>
          <w:vertAlign w:val="superscript"/>
        </w:rPr>
        <w:t>ν</w:t>
      </w:r>
      <w:r w:rsidRPr="00D974AB">
        <w:t xml:space="preserve"> αντί-</w:t>
      </w:r>
      <w:r w:rsidRPr="00D974AB">
        <w:rPr>
          <w:lang w:bidi="en-US"/>
        </w:rPr>
        <w:t>TNF</w:t>
      </w:r>
      <w:r w:rsidRPr="00D974AB">
        <w:t xml:space="preserve">  ή σε  άλλο</w:t>
      </w:r>
      <w:r w:rsidR="00B62FC1">
        <w:t>ν</w:t>
      </w:r>
      <w:r w:rsidRPr="00D974AB">
        <w:t xml:space="preserve"> βιολογικό παράγοντα</w:t>
      </w:r>
      <w:r w:rsidR="00B62FC1">
        <w:t>,</w:t>
      </w:r>
      <w:r w:rsidRPr="00D974AB">
        <w:t xml:space="preserve"> κατά περίπτωση (βλέπε θεραπευτικές ομάδες ασθενών).</w:t>
      </w:r>
      <w:r w:rsidR="00A117AE" w:rsidRPr="009062FD">
        <w:rPr>
          <w:vertAlign w:val="superscript"/>
        </w:rPr>
        <w:t>12</w:t>
      </w:r>
    </w:p>
    <w:p w:rsidR="00D974AB" w:rsidRPr="00D974AB" w:rsidRDefault="00D974AB" w:rsidP="00A067A2">
      <w:pPr>
        <w:jc w:val="both"/>
        <w:rPr>
          <w:b/>
          <w:bCs/>
        </w:rPr>
      </w:pPr>
    </w:p>
    <w:p w:rsidR="00D974AB" w:rsidRPr="00D974AB" w:rsidRDefault="005D5A58" w:rsidP="00A067A2">
      <w:pPr>
        <w:jc w:val="both"/>
        <w:rPr>
          <w:b/>
          <w:bCs/>
          <w:i/>
        </w:rPr>
      </w:pPr>
      <w:r>
        <w:rPr>
          <w:b/>
          <w:bCs/>
          <w:i/>
        </w:rPr>
        <w:t>7</w:t>
      </w:r>
      <w:r w:rsidR="00D974AB" w:rsidRPr="00D974AB">
        <w:rPr>
          <w:b/>
          <w:bCs/>
          <w:i/>
        </w:rPr>
        <w:t>Β. ΔΟΣΟΛΟΓΙΑ  ΦΑΡΜΑΚΩΝ  ΠΟΥ  ΧΡΗΣΙΜΟΠΟΙΟΥΝΤΑΙ  ΣΤΗ  Ν</w:t>
      </w:r>
      <w:r w:rsidR="00D974AB" w:rsidRPr="00D974AB">
        <w:rPr>
          <w:b/>
          <w:bCs/>
          <w:i/>
          <w:lang w:bidi="en-US"/>
        </w:rPr>
        <w:t>IA</w:t>
      </w:r>
    </w:p>
    <w:p w:rsidR="00D974AB" w:rsidRPr="00D974AB" w:rsidRDefault="00D974AB" w:rsidP="00A067A2">
      <w:pPr>
        <w:jc w:val="both"/>
      </w:pPr>
      <w:r w:rsidRPr="00D974AB">
        <w:rPr>
          <w:b/>
          <w:i/>
          <w:u w:val="single"/>
        </w:rPr>
        <w:t>Μη στεροειδή αντιφλεγμονώδη φάρμακα (ΜΣΑΦ) :</w:t>
      </w:r>
      <w:r w:rsidRPr="00D974AB">
        <w:t xml:space="preserve"> Κανένα δεν υπερτερεί έναντι των άλλων. Η επιλογή </w:t>
      </w:r>
      <w:r w:rsidR="00FE4172">
        <w:t>βασ</w:t>
      </w:r>
      <w:r w:rsidRPr="00D974AB">
        <w:t xml:space="preserve">ίζεται σε άλλους παράγοντες, όπως η συχνότητα χορήγησης,  η μορφή του φαρμάκου σε  υγρή μορφή (εναιώρημα) για τα μικρά παιδιά, το κόστος, και η εξατομικευμένη ανοχή του σκευάσματος. Η ταυτόχρονη χορήγηση 2 ή περισσότερων ΜΣΑΦ δεν συστήνεται. Τα ΜΣΑΦ, ανακουφίζουν μόνο από την πρωινή δυσκαμψία και τον πόνο, αλλά δεν  </w:t>
      </w:r>
      <w:r w:rsidRPr="009062FD">
        <w:t>καταστέλλουν τη χρόνια φλεγμονώδη διεργασία, δεν επηρεάζουν δηλαδή την έκβαση της νόσου</w:t>
      </w:r>
      <w:r w:rsidR="00FE4172" w:rsidRPr="009062FD">
        <w:t xml:space="preserve"> (</w:t>
      </w:r>
      <w:r w:rsidR="001A1911" w:rsidRPr="009062FD">
        <w:t>Π</w:t>
      </w:r>
      <w:r w:rsidR="00FE4172" w:rsidRPr="009062FD">
        <w:t>ίν</w:t>
      </w:r>
      <w:r w:rsidR="00840F13" w:rsidRPr="009062FD">
        <w:t>.</w:t>
      </w:r>
      <w:r w:rsidR="00FE4172" w:rsidRPr="009062FD">
        <w:t xml:space="preserve"> </w:t>
      </w:r>
      <w:r w:rsidR="00840F13" w:rsidRPr="009062FD">
        <w:t>8</w:t>
      </w:r>
      <w:r w:rsidR="00FE4172" w:rsidRPr="009062FD">
        <w:t>)</w:t>
      </w:r>
      <w:r w:rsidRPr="009062FD">
        <w:t>.</w:t>
      </w:r>
      <w:r w:rsidR="00A117AE" w:rsidRPr="009062FD">
        <w:rPr>
          <w:vertAlign w:val="superscript"/>
        </w:rPr>
        <w:t>3,</w:t>
      </w:r>
      <w:r w:rsidRPr="009062FD">
        <w:rPr>
          <w:vertAlign w:val="superscript"/>
        </w:rPr>
        <w:t>4</w:t>
      </w:r>
    </w:p>
    <w:p w:rsidR="00D974AB" w:rsidRPr="00D974AB" w:rsidRDefault="00D974AB" w:rsidP="00A067A2">
      <w:pPr>
        <w:jc w:val="both"/>
        <w:rPr>
          <w:b/>
          <w:bCs/>
        </w:rPr>
      </w:pPr>
    </w:p>
    <w:p w:rsidR="00D974AB" w:rsidRPr="00D974AB" w:rsidRDefault="00D974AB" w:rsidP="00A067A2">
      <w:pPr>
        <w:jc w:val="both"/>
        <w:rPr>
          <w:b/>
          <w:bCs/>
        </w:rPr>
      </w:pPr>
    </w:p>
    <w:p w:rsidR="00D974AB" w:rsidRPr="00D974AB" w:rsidRDefault="00D974AB" w:rsidP="00A067A2">
      <w:pPr>
        <w:jc w:val="both"/>
        <w:rPr>
          <w:b/>
          <w:i/>
        </w:rPr>
      </w:pPr>
    </w:p>
    <w:p w:rsidR="00D974AB" w:rsidRPr="009062FD" w:rsidRDefault="00D974AB" w:rsidP="00A067A2">
      <w:pPr>
        <w:jc w:val="both"/>
        <w:rPr>
          <w:b/>
          <w:i/>
        </w:rPr>
      </w:pPr>
      <w:r w:rsidRPr="009062FD">
        <w:rPr>
          <w:b/>
          <w:i/>
        </w:rPr>
        <w:t xml:space="preserve">Κορτικοστεροειδή </w:t>
      </w:r>
    </w:p>
    <w:p w:rsidR="00D974AB" w:rsidRPr="009062FD" w:rsidRDefault="00D974AB" w:rsidP="00A067A2">
      <w:pPr>
        <w:jc w:val="both"/>
      </w:pPr>
      <w:r w:rsidRPr="009062FD">
        <w:t>Έχουν απόλυτη ένδειξη στη συστηματική μορφή της Ν</w:t>
      </w:r>
      <w:r w:rsidRPr="009062FD">
        <w:rPr>
          <w:lang w:bidi="en-US"/>
        </w:rPr>
        <w:t>IA</w:t>
      </w:r>
      <w:r w:rsidR="003B7F4A" w:rsidRPr="009062FD">
        <w:t xml:space="preserve"> (Πιν. 9)</w:t>
      </w:r>
      <w:r w:rsidRPr="009062FD">
        <w:t>, συγκεκριμένα για την καταστολή του πυρετού, της ορογονίτιδας και του  συνδρόμου ενεργοποίησης του μακροφάγου (</w:t>
      </w:r>
      <w:r w:rsidRPr="009062FD">
        <w:rPr>
          <w:lang w:bidi="en-US"/>
        </w:rPr>
        <w:t>MAS</w:t>
      </w:r>
      <w:r w:rsidRPr="009062FD">
        <w:t>). Στα παιδιά δεν είναι απαραίτητη  η  συγχορήγηση  γαστροπροστασίας</w:t>
      </w:r>
      <w:r w:rsidR="00FE4172" w:rsidRPr="009062FD">
        <w:t xml:space="preserve">. </w:t>
      </w:r>
      <w:r w:rsidR="00A117AE" w:rsidRPr="009062FD">
        <w:rPr>
          <w:vertAlign w:val="superscript"/>
        </w:rPr>
        <w:t xml:space="preserve">4, </w:t>
      </w:r>
      <w:r w:rsidR="00A117AE" w:rsidRPr="009062FD">
        <w:rPr>
          <w:i/>
          <w:vertAlign w:val="superscript"/>
        </w:rPr>
        <w:t>12</w:t>
      </w:r>
      <w:r w:rsidR="00617877" w:rsidRPr="009062FD">
        <w:rPr>
          <w:i/>
          <w:vertAlign w:val="superscript"/>
        </w:rPr>
        <w:t>,</w:t>
      </w:r>
      <w:r w:rsidR="00A117AE" w:rsidRPr="009062FD">
        <w:rPr>
          <w:vertAlign w:val="superscript"/>
        </w:rPr>
        <w:t xml:space="preserve"> </w:t>
      </w:r>
      <w:r w:rsidR="00617877" w:rsidRPr="009062FD">
        <w:rPr>
          <w:vertAlign w:val="superscript"/>
        </w:rPr>
        <w:t>2</w:t>
      </w:r>
      <w:r w:rsidR="00A117AE" w:rsidRPr="009062FD">
        <w:rPr>
          <w:vertAlign w:val="superscript"/>
        </w:rPr>
        <w:t>7</w:t>
      </w:r>
      <w:r w:rsidR="00617877" w:rsidRPr="009062FD">
        <w:rPr>
          <w:vertAlign w:val="superscript"/>
        </w:rPr>
        <w:t xml:space="preserve">, </w:t>
      </w:r>
      <w:r w:rsidR="00A117AE" w:rsidRPr="009062FD">
        <w:rPr>
          <w:i/>
          <w:vertAlign w:val="superscript"/>
        </w:rPr>
        <w:t>28</w:t>
      </w:r>
    </w:p>
    <w:p w:rsidR="00B32F5E" w:rsidRPr="009062FD" w:rsidRDefault="00B32F5E" w:rsidP="00B32F5E">
      <w:pPr>
        <w:jc w:val="both"/>
        <w:rPr>
          <w:b/>
        </w:rPr>
      </w:pPr>
    </w:p>
    <w:p w:rsidR="00D974AB" w:rsidRPr="009062FD" w:rsidRDefault="005D5A58" w:rsidP="00A067A2">
      <w:pPr>
        <w:jc w:val="both"/>
        <w:rPr>
          <w:b/>
          <w:i/>
          <w:vertAlign w:val="superscript"/>
        </w:rPr>
      </w:pPr>
      <w:r w:rsidRPr="009062FD">
        <w:rPr>
          <w:b/>
          <w:i/>
        </w:rPr>
        <w:t>7</w:t>
      </w:r>
      <w:r w:rsidR="00D974AB" w:rsidRPr="009062FD">
        <w:rPr>
          <w:b/>
          <w:i/>
        </w:rPr>
        <w:t>Γ. ΠΡΟΤΕΙΝΟΜΕΝΑ ΘΕΡΑΠΕΥΤΙΚΑ ΣΧΗΜΑΤ</w:t>
      </w:r>
      <w:r w:rsidR="00D974AB" w:rsidRPr="009062FD">
        <w:rPr>
          <w:b/>
          <w:i/>
          <w:lang w:bidi="en-US"/>
        </w:rPr>
        <w:t>A</w:t>
      </w:r>
      <w:r w:rsidR="00D974AB" w:rsidRPr="009062FD">
        <w:rPr>
          <w:b/>
          <w:i/>
        </w:rPr>
        <w:t xml:space="preserve">/ΠΡΩΤΟΚΟΛΛΑ ΣΤΙΣ 5 ΟΜΑΔΕΣ ΑΣΘΕΝΩΝ ΜΕ </w:t>
      </w:r>
      <w:r w:rsidR="00D974AB" w:rsidRPr="009062FD">
        <w:rPr>
          <w:b/>
          <w:i/>
          <w:lang w:bidi="en-US"/>
        </w:rPr>
        <w:t>NIA</w:t>
      </w:r>
      <w:r w:rsidR="00D974AB" w:rsidRPr="009062FD">
        <w:rPr>
          <w:b/>
          <w:i/>
        </w:rPr>
        <w:t xml:space="preserve"> ΣΥΜΦΩΝΑ ΜΕ ΤΙΣ ΣΥΣΤΑΣΕΙΣ ΤΟΥ </w:t>
      </w:r>
      <w:r w:rsidR="00D974AB" w:rsidRPr="009062FD">
        <w:rPr>
          <w:b/>
          <w:i/>
          <w:lang w:bidi="en-US"/>
        </w:rPr>
        <w:t>ACR</w:t>
      </w:r>
      <w:r w:rsidR="00D974AB" w:rsidRPr="009062FD">
        <w:rPr>
          <w:b/>
          <w:i/>
        </w:rPr>
        <w:t xml:space="preserve"> 2011/2013</w:t>
      </w:r>
      <w:r w:rsidR="00B801FA" w:rsidRPr="009062FD">
        <w:rPr>
          <w:b/>
          <w:i/>
        </w:rPr>
        <w:t xml:space="preserve"> </w:t>
      </w:r>
      <w:r w:rsidR="00B801FA" w:rsidRPr="009062FD">
        <w:rPr>
          <w:b/>
          <w:i/>
          <w:vertAlign w:val="superscript"/>
        </w:rPr>
        <w:t>10</w:t>
      </w:r>
      <w:r w:rsidR="00D974AB" w:rsidRPr="009062FD">
        <w:rPr>
          <w:b/>
          <w:i/>
          <w:vertAlign w:val="superscript"/>
        </w:rPr>
        <w:t>,</w:t>
      </w:r>
      <w:r w:rsidR="00B801FA" w:rsidRPr="009062FD">
        <w:rPr>
          <w:b/>
          <w:i/>
          <w:vertAlign w:val="superscript"/>
        </w:rPr>
        <w:t>12</w:t>
      </w:r>
    </w:p>
    <w:p w:rsidR="00D974AB" w:rsidRPr="009062FD" w:rsidRDefault="00D974AB" w:rsidP="00A067A2">
      <w:pPr>
        <w:jc w:val="both"/>
      </w:pPr>
      <w:r w:rsidRPr="00D974AB">
        <w:t xml:space="preserve">Η  συσταθείσα Επιτροπή του </w:t>
      </w:r>
      <w:r w:rsidRPr="00D974AB">
        <w:rPr>
          <w:lang w:bidi="en-US"/>
        </w:rPr>
        <w:t>ACR</w:t>
      </w:r>
      <w:r w:rsidRPr="00D974AB">
        <w:t xml:space="preserve"> για προτάσεις θεραπευτικών σχημάτων στις διάφορες κατηγορίες της </w:t>
      </w:r>
      <w:r w:rsidRPr="00D974AB">
        <w:rPr>
          <w:lang w:bidi="en-US"/>
        </w:rPr>
        <w:t>NIA</w:t>
      </w:r>
      <w:r w:rsidRPr="00D974AB">
        <w:t xml:space="preserve"> επέλεξε 5 ομάδες ασθενών με βάση κυρίως </w:t>
      </w:r>
      <w:r w:rsidRPr="00D974AB">
        <w:rPr>
          <w:b/>
          <w:i/>
        </w:rPr>
        <w:t>τον αριθμό</w:t>
      </w:r>
      <w:r w:rsidRPr="00D974AB">
        <w:t xml:space="preserve"> (ολιγοαρθρίτιδα, πολυαρθρίτιδα) </w:t>
      </w:r>
      <w:r w:rsidRPr="00D974AB">
        <w:rPr>
          <w:b/>
          <w:i/>
        </w:rPr>
        <w:t>ή/και το είδος των προσβεβλημένων αρθρώσεων</w:t>
      </w:r>
      <w:r w:rsidRPr="00D974AB">
        <w:t xml:space="preserve"> (π.χ ιερολαγόνιες), </w:t>
      </w:r>
      <w:r w:rsidRPr="00D974AB">
        <w:rPr>
          <w:b/>
          <w:i/>
        </w:rPr>
        <w:t xml:space="preserve">την παρουσία ή μη δυσμενών προγνωστικών παραγόντων </w:t>
      </w:r>
      <w:r w:rsidRPr="00D974AB">
        <w:t xml:space="preserve"> μαζί με τη</w:t>
      </w:r>
      <w:r w:rsidRPr="00D974AB">
        <w:rPr>
          <w:b/>
          <w:i/>
        </w:rPr>
        <w:t xml:space="preserve"> σφαιρική εκτίμηση του ιατρού για τη συνολική δραστηριότητα της νόσου σε οπτική αναλογική κλίμακα 0-10 </w:t>
      </w:r>
      <w:r w:rsidRPr="00D974AB">
        <w:t>(θα αναφέρεται στο εξής</w:t>
      </w:r>
      <w:r w:rsidRPr="00D974AB">
        <w:rPr>
          <w:b/>
          <w:i/>
        </w:rPr>
        <w:t xml:space="preserve"> </w:t>
      </w:r>
      <w:r w:rsidRPr="00D974AB">
        <w:t>ως</w:t>
      </w:r>
      <w:r w:rsidRPr="00D974AB">
        <w:rPr>
          <w:b/>
          <w:i/>
        </w:rPr>
        <w:t xml:space="preserve"> </w:t>
      </w:r>
      <w:r w:rsidRPr="00D974AB">
        <w:rPr>
          <w:b/>
          <w:i/>
          <w:lang w:bidi="en-US"/>
        </w:rPr>
        <w:t>MDVAS</w:t>
      </w:r>
      <w:r w:rsidRPr="00D974AB">
        <w:rPr>
          <w:b/>
          <w:i/>
        </w:rPr>
        <w:t xml:space="preserve"> </w:t>
      </w:r>
      <w:r w:rsidRPr="00D974AB">
        <w:rPr>
          <w:b/>
          <w:i/>
          <w:lang w:bidi="en-US"/>
        </w:rPr>
        <w:t>global</w:t>
      </w:r>
      <w:r w:rsidRPr="00D974AB">
        <w:rPr>
          <w:b/>
          <w:i/>
        </w:rPr>
        <w:t xml:space="preserve">) </w:t>
      </w:r>
      <w:r w:rsidRPr="00D974AB">
        <w:t xml:space="preserve">και την </w:t>
      </w:r>
      <w:r w:rsidRPr="00D974AB">
        <w:rPr>
          <w:b/>
          <w:i/>
        </w:rPr>
        <w:t>παρουσία ή μη συστηματικών εκδηλώσεων</w:t>
      </w:r>
      <w:r w:rsidRPr="00D974AB">
        <w:t xml:space="preserve">. Για συντομία, οι 5 αυτές ομάδες καλούνται </w:t>
      </w:r>
      <w:r w:rsidRPr="00D974AB">
        <w:rPr>
          <w:i/>
        </w:rPr>
        <w:t>«θεραπευτικές ομάδες (</w:t>
      </w:r>
      <w:r w:rsidRPr="00D974AB">
        <w:rPr>
          <w:i/>
          <w:lang w:bidi="en-US"/>
        </w:rPr>
        <w:t>treatment</w:t>
      </w:r>
      <w:r w:rsidRPr="00D974AB">
        <w:rPr>
          <w:i/>
        </w:rPr>
        <w:t xml:space="preserve"> </w:t>
      </w:r>
      <w:r w:rsidRPr="00D974AB">
        <w:rPr>
          <w:i/>
          <w:lang w:bidi="en-US"/>
        </w:rPr>
        <w:t>groups</w:t>
      </w:r>
      <w:r w:rsidRPr="00D974AB">
        <w:rPr>
          <w:i/>
        </w:rPr>
        <w:t>) ασθενών με ΝΙΑ».</w:t>
      </w:r>
      <w:r w:rsidRPr="00D974AB">
        <w:t xml:space="preserve">  </w:t>
      </w:r>
      <w:r w:rsidRPr="003B7F4A">
        <w:t>Παρακάτω, παρατίθενται οι ομάδες αυτές με τα προτεινόμενα θεραπευτικά σχήματα</w:t>
      </w:r>
      <w:r w:rsidR="00473742" w:rsidRPr="003B7F4A">
        <w:t xml:space="preserve"> </w:t>
      </w:r>
      <w:r w:rsidR="000E59C5" w:rsidRPr="003B7F4A">
        <w:t xml:space="preserve"> (Πίν. 7-11) </w:t>
      </w:r>
      <w:r w:rsidR="00473742" w:rsidRPr="003B7F4A">
        <w:t>και την παρακολούθηση της ασφάλειάς τους</w:t>
      </w:r>
      <w:r w:rsidRPr="003B7F4A">
        <w:t xml:space="preserve"> </w:t>
      </w:r>
      <w:r w:rsidR="00473742" w:rsidRPr="003B7F4A">
        <w:t xml:space="preserve"> </w:t>
      </w:r>
      <w:r w:rsidR="000E59C5" w:rsidRPr="003B7F4A">
        <w:t xml:space="preserve">(Πίν. 12), </w:t>
      </w:r>
      <w:r w:rsidR="00473742" w:rsidRPr="003B7F4A">
        <w:t xml:space="preserve">σύμφωνα με </w:t>
      </w:r>
      <w:r w:rsidRPr="003B7F4A">
        <w:t xml:space="preserve">την προσθήκη μεταγενέστερων δημοσιευμένων </w:t>
      </w:r>
      <w:r w:rsidRPr="009062FD">
        <w:t>δεδομένων.</w:t>
      </w:r>
      <w:r w:rsidR="00D83D50" w:rsidRPr="009062FD">
        <w:rPr>
          <w:vertAlign w:val="superscript"/>
        </w:rPr>
        <w:t>29-</w:t>
      </w:r>
      <w:r w:rsidRPr="009062FD">
        <w:rPr>
          <w:vertAlign w:val="superscript"/>
        </w:rPr>
        <w:t>3</w:t>
      </w:r>
      <w:r w:rsidR="00B801FA" w:rsidRPr="009062FD">
        <w:rPr>
          <w:vertAlign w:val="superscript"/>
        </w:rPr>
        <w:t>2</w:t>
      </w:r>
      <w:r w:rsidRPr="009062FD">
        <w:t xml:space="preserve"> </w:t>
      </w:r>
    </w:p>
    <w:p w:rsidR="00D974AB" w:rsidRPr="00D974AB" w:rsidRDefault="00D974AB" w:rsidP="00A067A2">
      <w:pPr>
        <w:jc w:val="both"/>
        <w:rPr>
          <w:b/>
          <w:i/>
        </w:rPr>
      </w:pPr>
      <w:r w:rsidRPr="00D974AB">
        <w:t xml:space="preserve"> Για την 4</w:t>
      </w:r>
      <w:r w:rsidRPr="00D974AB">
        <w:rPr>
          <w:vertAlign w:val="superscript"/>
        </w:rPr>
        <w:t>Η</w:t>
      </w:r>
      <w:r w:rsidRPr="00D974AB">
        <w:t xml:space="preserve"> και  5</w:t>
      </w:r>
      <w:r w:rsidRPr="00D974AB">
        <w:rPr>
          <w:vertAlign w:val="superscript"/>
        </w:rPr>
        <w:t xml:space="preserve">η </w:t>
      </w:r>
      <w:r w:rsidRPr="00D974AB">
        <w:t xml:space="preserve">ομάδα, που αφορούν τη συστηματική ΝΙΑ, ο πρώην διαχωρισμός (2011) στις ομάδες αυτές με βάση την παρουσία ή την απουσία συστηματικών εκδηλώσεων και ενεργού αρθρίτιδας (ανεξάρτητα από τον αριθμό των προσβεβλημένων αρθρώσεων) τροποποιήθηκε στις συστάσεις του </w:t>
      </w:r>
      <w:r w:rsidRPr="00D974AB">
        <w:rPr>
          <w:lang w:bidi="en-US"/>
        </w:rPr>
        <w:t>ACR</w:t>
      </w:r>
      <w:r w:rsidRPr="00D974AB">
        <w:t xml:space="preserve"> 2013, και ο διαχωρισμός γίνεται τώρα με βάση τον </w:t>
      </w:r>
      <w:r w:rsidRPr="00D974AB">
        <w:rPr>
          <w:b/>
          <w:i/>
        </w:rPr>
        <w:t>αριθμό των προσβεβλημένων αρθρώσεων</w:t>
      </w:r>
      <w:r w:rsidRPr="00D974AB">
        <w:t xml:space="preserve">, ( </w:t>
      </w:r>
      <w:r w:rsidRPr="00D974AB">
        <w:rPr>
          <w:i/>
        </w:rPr>
        <w:t xml:space="preserve">0=απουσία αρθρίτιδας, ≤4 = ολιγοαρθρίτιδα, &gt;4 = πολυαρθρίτιδα), </w:t>
      </w:r>
      <w:r w:rsidRPr="00D974AB">
        <w:rPr>
          <w:b/>
          <w:i/>
        </w:rPr>
        <w:t>το επίπεδο δραστηριότητας της νόσου</w:t>
      </w:r>
      <w:r w:rsidRPr="00D974AB">
        <w:t xml:space="preserve"> με την </w:t>
      </w:r>
      <w:r w:rsidRPr="00D974AB">
        <w:rPr>
          <w:b/>
          <w:i/>
          <w:lang w:bidi="en-US"/>
        </w:rPr>
        <w:t>MDVAS</w:t>
      </w:r>
      <w:r w:rsidRPr="00D974AB">
        <w:rPr>
          <w:b/>
          <w:i/>
        </w:rPr>
        <w:t xml:space="preserve"> </w:t>
      </w:r>
      <w:r w:rsidRPr="00D974AB">
        <w:rPr>
          <w:b/>
          <w:i/>
          <w:lang w:bidi="en-US"/>
        </w:rPr>
        <w:t>global</w:t>
      </w:r>
      <w:r w:rsidRPr="00D974AB">
        <w:rPr>
          <w:b/>
          <w:i/>
        </w:rPr>
        <w:t xml:space="preserve"> ≤5 ή ≥5</w:t>
      </w:r>
      <w:r w:rsidRPr="00D974AB">
        <w:rPr>
          <w:i/>
        </w:rPr>
        <w:t xml:space="preserve"> </w:t>
      </w:r>
      <w:r w:rsidRPr="00D974AB">
        <w:rPr>
          <w:b/>
          <w:i/>
        </w:rPr>
        <w:t>και την παρουσία ή την απουσία συστηματικών εκδηλώσεων</w:t>
      </w:r>
      <w:r w:rsidRPr="00D974AB">
        <w:t xml:space="preserve">. Με τα κριτήρια αυτά οι «θεραπευτικές ομάδες» της συστηματικής ΝΙΑ διακρίνονται σε </w:t>
      </w:r>
      <w:r w:rsidRPr="00D974AB">
        <w:rPr>
          <w:b/>
          <w:i/>
        </w:rPr>
        <w:t>«συστηματική ΝΙΑ με ενεργείς συστηματικές εκδηλώσεις και με διαφόρου βαθμού ενεργό αρθρίτιδα (διαφόρου αριθμού προσβεβλημένες αρθρώσεις)»</w:t>
      </w:r>
      <w:r w:rsidRPr="00D974AB">
        <w:t xml:space="preserve"> και σε </w:t>
      </w:r>
      <w:r w:rsidRPr="00D974AB">
        <w:rPr>
          <w:b/>
          <w:i/>
        </w:rPr>
        <w:t>«συστηματική ΝΙΑ χωρίς συστηματικές εκδηλώσεις και με διαφόρου βαθμού ενεργό αρθρίτιδα (διαφόρου αριθμού προσβεβλημένες αρθρώσεις)».</w:t>
      </w:r>
    </w:p>
    <w:p w:rsidR="000307DD" w:rsidRDefault="000307DD" w:rsidP="00A067A2">
      <w:pPr>
        <w:jc w:val="both"/>
        <w:rPr>
          <w:b/>
          <w:i/>
        </w:rPr>
      </w:pPr>
    </w:p>
    <w:p w:rsidR="000307DD" w:rsidRDefault="000307DD" w:rsidP="00A067A2">
      <w:pPr>
        <w:jc w:val="both"/>
        <w:rPr>
          <w:b/>
          <w:i/>
        </w:rPr>
      </w:pPr>
    </w:p>
    <w:p w:rsidR="00D974AB" w:rsidRDefault="00D974AB" w:rsidP="00A067A2">
      <w:pPr>
        <w:jc w:val="both"/>
        <w:rPr>
          <w:b/>
          <w:i/>
        </w:rPr>
      </w:pPr>
      <w:r w:rsidRPr="00D974AB">
        <w:rPr>
          <w:b/>
          <w:i/>
        </w:rPr>
        <w:t xml:space="preserve">  </w:t>
      </w:r>
    </w:p>
    <w:p w:rsidR="00D974AB" w:rsidRPr="00D974AB" w:rsidRDefault="00D974AB" w:rsidP="00A067A2">
      <w:pPr>
        <w:jc w:val="both"/>
        <w:rPr>
          <w:i/>
        </w:rPr>
      </w:pPr>
      <w:r w:rsidRPr="00D974AB">
        <w:rPr>
          <w:b/>
          <w:i/>
        </w:rPr>
        <w:t>1</w:t>
      </w:r>
      <w:r w:rsidRPr="00D974AB">
        <w:rPr>
          <w:b/>
          <w:i/>
          <w:vertAlign w:val="superscript"/>
        </w:rPr>
        <w:t>Η</w:t>
      </w:r>
      <w:r w:rsidRPr="00D974AB">
        <w:rPr>
          <w:b/>
          <w:i/>
        </w:rPr>
        <w:t xml:space="preserve"> ΘΕΡΑΠΕΥΤΙΚΗ ΟΜΑΔΑ: </w:t>
      </w:r>
      <w:r w:rsidRPr="00D974AB">
        <w:rPr>
          <w:b/>
          <w:i/>
          <w:lang w:bidi="en-US"/>
        </w:rPr>
        <w:t>A</w:t>
      </w:r>
      <w:r w:rsidRPr="00D974AB">
        <w:rPr>
          <w:b/>
          <w:i/>
        </w:rPr>
        <w:t>ΣΘ</w:t>
      </w:r>
      <w:r w:rsidRPr="00D974AB">
        <w:rPr>
          <w:b/>
          <w:i/>
          <w:lang w:bidi="en-US"/>
        </w:rPr>
        <w:t>ENEI</w:t>
      </w:r>
      <w:r w:rsidRPr="00D974AB">
        <w:rPr>
          <w:b/>
          <w:i/>
        </w:rPr>
        <w:t xml:space="preserve">Σ </w:t>
      </w:r>
      <w:r w:rsidRPr="00D974AB">
        <w:rPr>
          <w:b/>
          <w:i/>
          <w:lang w:bidi="en-US"/>
        </w:rPr>
        <w:t>ME</w:t>
      </w:r>
      <w:r w:rsidRPr="00D974AB">
        <w:rPr>
          <w:b/>
          <w:i/>
        </w:rPr>
        <w:t xml:space="preserve"> ΙΣΤΟΡΙΚΟ  ΑΡΘΡΙΤΙΔΑΣ ΣΕ 4  Ή  ΛΙΓΟΤΕΡΕΣ ΑΡΘΡΩΣΕΙΣ (ΟΛΙΓΟΑΡΘΡΙΤΙΔΑ)</w:t>
      </w:r>
    </w:p>
    <w:p w:rsidR="00D974AB" w:rsidRPr="00D678DE" w:rsidRDefault="00D974AB" w:rsidP="00A067A2">
      <w:pPr>
        <w:jc w:val="both"/>
        <w:rPr>
          <w:color w:val="FF0000"/>
        </w:rPr>
      </w:pPr>
      <w:r w:rsidRPr="00D974AB">
        <w:t xml:space="preserve"> Εντάσσονται  ασθενείς με επίμονη ολιγοαρθρίτιδα, κάποιοι από τους ασθενείς με ψωριασική αρθρίτιδα, κάποιοι με αρθρίτιδα που σχετίζεται με ενθεσίτιδα και ορισμένοι με αταξινόμητη αρθρίτιδα, οι οποίοι, σ’ όλη τη διάρκεια της νόσου, έχουν προσβολή μέχρι 4 αρθρώσεις. </w:t>
      </w:r>
    </w:p>
    <w:p w:rsidR="00D974AB" w:rsidRPr="00D678DE" w:rsidRDefault="00D974AB" w:rsidP="00A067A2">
      <w:pPr>
        <w:jc w:val="both"/>
        <w:rPr>
          <w:color w:val="0070C0"/>
        </w:rPr>
      </w:pPr>
      <w:r w:rsidRPr="00D974AB">
        <w:t xml:space="preserve">Η διαβάθμιση δραστηριότητας της νόσου σε 3 επίπεδα και οι  δυσμενείς προγνωστικοί παράγοντες  γι’ αυτή τη «θεραπευτική ομάδα» ασθενών με ΝΙΑ, παρατίθεται </w:t>
      </w:r>
      <w:r w:rsidRPr="00B74241">
        <w:t xml:space="preserve">στον </w:t>
      </w:r>
      <w:r w:rsidR="00B74241">
        <w:t>Π</w:t>
      </w:r>
      <w:r w:rsidRPr="00B74241">
        <w:t>ίνακα 2.</w:t>
      </w:r>
      <w:r w:rsidRPr="00D974AB">
        <w:t xml:space="preserve">  Σχηματικά, η όλη στρατηγική της θεραπείας φαίνεται στον </w:t>
      </w:r>
      <w:r w:rsidRPr="009062FD">
        <w:t>αλγόριθμο/</w:t>
      </w:r>
      <w:r w:rsidR="00F90BA4" w:rsidRPr="009062FD">
        <w:t>σ</w:t>
      </w:r>
      <w:r w:rsidRPr="009062FD">
        <w:t>χήμα 1.</w:t>
      </w:r>
      <w:r w:rsidRPr="00D678DE">
        <w:rPr>
          <w:color w:val="0070C0"/>
        </w:rPr>
        <w:t xml:space="preserve"> </w:t>
      </w:r>
    </w:p>
    <w:p w:rsidR="000129D8" w:rsidRDefault="000129D8" w:rsidP="00A067A2">
      <w:pPr>
        <w:jc w:val="both"/>
        <w:rPr>
          <w:b/>
        </w:rPr>
      </w:pPr>
    </w:p>
    <w:p w:rsidR="00D974AB" w:rsidRPr="00D974AB" w:rsidRDefault="00D974AB" w:rsidP="00A067A2">
      <w:pPr>
        <w:jc w:val="both"/>
        <w:rPr>
          <w:b/>
        </w:rPr>
      </w:pPr>
      <w:r w:rsidRPr="00D974AB">
        <w:rPr>
          <w:b/>
        </w:rPr>
        <w:t xml:space="preserve">Θεραπεία </w:t>
      </w:r>
    </w:p>
    <w:p w:rsidR="00D974AB" w:rsidRPr="00D974AB" w:rsidRDefault="00D974AB" w:rsidP="00A067A2">
      <w:pPr>
        <w:jc w:val="both"/>
      </w:pPr>
      <w:r w:rsidRPr="00D974AB">
        <w:t xml:space="preserve">Ως αρχική θεραπεία στην ομάδα αυτή των ασθενών προτείνονται, μονοθεραπεία με ΜΣΑΦ </w:t>
      </w:r>
      <w:r w:rsidRPr="00D974AB">
        <w:rPr>
          <w:b/>
        </w:rPr>
        <w:t>(α)</w:t>
      </w:r>
      <w:r w:rsidRPr="00D974AB">
        <w:t xml:space="preserve"> ή ενδοαρθρική έγχυση κορτικοστεροειδών </w:t>
      </w:r>
      <w:r w:rsidRPr="00D974AB">
        <w:rPr>
          <w:b/>
        </w:rPr>
        <w:t>(β)</w:t>
      </w:r>
      <w:r w:rsidRPr="00D974AB">
        <w:t xml:space="preserve"> ή μεθοτρεξάτη</w:t>
      </w:r>
      <w:r w:rsidRPr="00D974AB">
        <w:rPr>
          <w:b/>
        </w:rPr>
        <w:t xml:space="preserve"> (γ)</w:t>
      </w:r>
    </w:p>
    <w:p w:rsidR="00D974AB" w:rsidRPr="00D974AB" w:rsidRDefault="00D974AB" w:rsidP="00A067A2">
      <w:pPr>
        <w:jc w:val="both"/>
        <w:rPr>
          <w:b/>
        </w:rPr>
      </w:pPr>
      <w:r w:rsidRPr="00D974AB">
        <w:rPr>
          <w:b/>
          <w:i/>
        </w:rPr>
        <w:t xml:space="preserve">α. Μονοθεραπεία με ΜΣΑΦ </w:t>
      </w:r>
      <w:r w:rsidRPr="00D974AB">
        <w:t>(χωρίς ενδοαρθρική έγχυση ΚΣ)   συστήνεται:</w:t>
      </w:r>
      <w:r w:rsidRPr="00D974AB">
        <w:rPr>
          <w:b/>
        </w:rPr>
        <w:t xml:space="preserve"> </w:t>
      </w:r>
    </w:p>
    <w:p w:rsidR="00D974AB" w:rsidRPr="00D974AB" w:rsidRDefault="00D974AB" w:rsidP="00A067A2">
      <w:pPr>
        <w:numPr>
          <w:ilvl w:val="0"/>
          <w:numId w:val="33"/>
        </w:numPr>
        <w:jc w:val="both"/>
        <w:rPr>
          <w:b/>
          <w:i/>
        </w:rPr>
      </w:pPr>
      <w:r w:rsidRPr="00D974AB">
        <w:t xml:space="preserve">Για </w:t>
      </w:r>
      <w:r w:rsidRPr="00D974AB">
        <w:rPr>
          <w:i/>
        </w:rPr>
        <w:t>ασθενείς με χαμηλή δραστηριότητα της νόσου, χωρίς μόνιμη σύγκαμψη αρθρώσεων και με απουσία δυσμενών προγνωστικών παραγόντων.</w:t>
      </w:r>
      <w:r w:rsidRPr="00D974AB">
        <w:t xml:space="preserve"> Επί παραμονής ενεργού αρθρίτιδας για περίπου 2 μήνες δεν συνεχίζεται η μονοθεραπεία με ΜΣΑΦ αλλά προτείνεται  αλλαγή σε άλλη ομάδα φαρμάκων. </w:t>
      </w:r>
    </w:p>
    <w:p w:rsidR="00D974AB" w:rsidRPr="00D974AB" w:rsidRDefault="00D974AB" w:rsidP="00A067A2">
      <w:pPr>
        <w:jc w:val="both"/>
      </w:pPr>
      <w:r w:rsidRPr="00D974AB">
        <w:rPr>
          <w:b/>
          <w:i/>
        </w:rPr>
        <w:t>β. Ενδοαρθρική έγχυση κορτικοστεροειδών (ΚΣ)</w:t>
      </w:r>
      <w:r w:rsidRPr="00D974AB">
        <w:t xml:space="preserve"> (με ή χωρίς επιπρόσθετη θεραπεία) συστήνεται: </w:t>
      </w:r>
    </w:p>
    <w:p w:rsidR="00D974AB" w:rsidRPr="00D974AB" w:rsidRDefault="00D974AB" w:rsidP="00A067A2">
      <w:pPr>
        <w:numPr>
          <w:ilvl w:val="0"/>
          <w:numId w:val="33"/>
        </w:numPr>
        <w:jc w:val="both"/>
      </w:pPr>
      <w:r w:rsidRPr="009062FD">
        <w:t xml:space="preserve">Για </w:t>
      </w:r>
      <w:r w:rsidRPr="009062FD">
        <w:rPr>
          <w:i/>
        </w:rPr>
        <w:t>όλους τους ασθενείς με ενεργό αρθρίτιδα ανεξάρτητα από το επίπεδο δραστηριότητας της νόσου και παρουσία ή απουσία δυσμενών   προγνωστικών παραγόντων ή σύγκαμψη των αρθρώσεων</w:t>
      </w:r>
      <w:r w:rsidR="00880428" w:rsidRPr="009062FD">
        <w:rPr>
          <w:i/>
        </w:rPr>
        <w:t xml:space="preserve"> </w:t>
      </w:r>
      <w:r w:rsidR="00880428" w:rsidRPr="009062FD">
        <w:t>(Πιν.10)</w:t>
      </w:r>
      <w:r w:rsidRPr="009062FD">
        <w:t>. Το θεραπευτικό αποτέλεσμα (κλινική βελτίωση) αναμένεται να</w:t>
      </w:r>
      <w:r w:rsidRPr="00D974AB">
        <w:t xml:space="preserve"> διαρκέσει τουλάχιστον 4 μήνες. Εάν η διάρκεια είναι συντομότερη τότε προστίθεται και  συστηματική θεραπεία. Εάν το θεραπευτικό αποτέλεσμα διαρκέσει ≥ 4 μήνες τότε η ενδοαρθρική έγχυση ΚΣ μπορεί να επαναληφθεί με ή χωρίς συστηματική θεραπεία ανάλογα και με την κατάσταση των άλλων αρθρώσεων. </w:t>
      </w:r>
    </w:p>
    <w:p w:rsidR="00D974AB" w:rsidRPr="00D974AB" w:rsidRDefault="00D974AB" w:rsidP="00A067A2">
      <w:pPr>
        <w:jc w:val="both"/>
      </w:pPr>
      <w:r w:rsidRPr="00D974AB">
        <w:rPr>
          <w:b/>
          <w:i/>
        </w:rPr>
        <w:t>γ. Μεθοτρεξάτη.</w:t>
      </w:r>
      <w:r w:rsidRPr="00D974AB">
        <w:t xml:space="preserve"> Η χορήγηση μεθοτρεξάτης συστήνεται:</w:t>
      </w:r>
    </w:p>
    <w:p w:rsidR="00D974AB" w:rsidRPr="00D974AB" w:rsidRDefault="00D974AB" w:rsidP="00A067A2">
      <w:pPr>
        <w:numPr>
          <w:ilvl w:val="0"/>
          <w:numId w:val="31"/>
        </w:numPr>
        <w:jc w:val="both"/>
      </w:pPr>
      <w:r w:rsidRPr="00D974AB">
        <w:t xml:space="preserve">Ως αρχική θεραπεία (εάν δεν έχει προηγηθεί άλλη θεραπεία) για </w:t>
      </w:r>
      <w:r w:rsidRPr="00D974AB">
        <w:rPr>
          <w:i/>
        </w:rPr>
        <w:t xml:space="preserve">ασθενείς με υψηλή δραστηριότητα της νόσου και παρουσία δυσμενών προγνωστικών παραγόντων. </w:t>
      </w:r>
    </w:p>
    <w:p w:rsidR="00D974AB" w:rsidRPr="00D974AB" w:rsidRDefault="00D974AB" w:rsidP="00A067A2">
      <w:pPr>
        <w:numPr>
          <w:ilvl w:val="0"/>
          <w:numId w:val="31"/>
        </w:numPr>
        <w:jc w:val="both"/>
      </w:pPr>
      <w:r w:rsidRPr="00D974AB">
        <w:t xml:space="preserve">Εάν έχει προηγηθεί ενδοαρθρική έγχυση ΚΣ, συστήνεται για </w:t>
      </w:r>
      <w:r w:rsidRPr="00D974AB">
        <w:rPr>
          <w:i/>
        </w:rPr>
        <w:t xml:space="preserve">ασθενείς  με υψηλή δραστηριότητα της νόσου χωρίς παρουσία δυσμενών προγνωστικών παραγόντων  καθώς και για ασθενείς με μέτρια δραστηριότητα της νόσου και παρουσία δυσμενών προγνωστικών παραγόντων. </w:t>
      </w:r>
    </w:p>
    <w:p w:rsidR="00D974AB" w:rsidRPr="00D974AB" w:rsidRDefault="00D974AB" w:rsidP="00A067A2">
      <w:pPr>
        <w:numPr>
          <w:ilvl w:val="0"/>
          <w:numId w:val="31"/>
        </w:numPr>
        <w:jc w:val="both"/>
      </w:pPr>
      <w:r w:rsidRPr="00D974AB">
        <w:rPr>
          <w:i/>
        </w:rPr>
        <w:t>Εά</w:t>
      </w:r>
      <w:r w:rsidRPr="00D974AB">
        <w:t xml:space="preserve">ν έχουν προηγηθεί επανειλημμένες ενδοαρθρικές εγχύσεις ΚΣ, η χορήγηση μεθοτρεξάτης συστήνεται για </w:t>
      </w:r>
      <w:r w:rsidRPr="00D974AB">
        <w:rPr>
          <w:i/>
        </w:rPr>
        <w:t xml:space="preserve">ασθενείς με μέτρια δραστηριότητα της νόσου και απουσία δυσμενών προγνωστικών παραγόντων </w:t>
      </w:r>
      <w:r w:rsidRPr="00D974AB">
        <w:t>καθώς και για</w:t>
      </w:r>
      <w:r w:rsidRPr="00D974AB">
        <w:rPr>
          <w:i/>
        </w:rPr>
        <w:t xml:space="preserve"> ασθενείς με χαμηλή δραστηριότητα της νόσου αλλά με παρουσία δυσμενών προγνωστικών παραγόντων. </w:t>
      </w:r>
    </w:p>
    <w:p w:rsidR="00D974AB" w:rsidRPr="00D974AB" w:rsidRDefault="00D974AB" w:rsidP="00A067A2">
      <w:pPr>
        <w:jc w:val="both"/>
        <w:rPr>
          <w:i/>
        </w:rPr>
      </w:pPr>
    </w:p>
    <w:p w:rsidR="00D974AB" w:rsidRPr="00D974AB" w:rsidRDefault="00D974AB" w:rsidP="00A067A2">
      <w:pPr>
        <w:jc w:val="both"/>
      </w:pPr>
      <w:r w:rsidRPr="00D974AB">
        <w:t xml:space="preserve">Για ασθενείς που ανήκουν στην κατηγορία της </w:t>
      </w:r>
      <w:r w:rsidRPr="00D974AB">
        <w:rPr>
          <w:b/>
          <w:i/>
        </w:rPr>
        <w:t>αρθρίτιδας που σχετίζεται με ενθεσίτιδα</w:t>
      </w:r>
      <w:r w:rsidRPr="00D974AB">
        <w:t xml:space="preserve"> συστήνεται η χορήγηση </w:t>
      </w:r>
      <w:r w:rsidRPr="00D974AB">
        <w:rPr>
          <w:b/>
          <w:i/>
        </w:rPr>
        <w:t xml:space="preserve">Σουλφασαλαζίνης </w:t>
      </w:r>
      <w:r w:rsidRPr="00D974AB">
        <w:t xml:space="preserve"> στις εξής περιπτώσεις:</w:t>
      </w:r>
    </w:p>
    <w:p w:rsidR="00D974AB" w:rsidRPr="00D974AB" w:rsidRDefault="00D974AB" w:rsidP="00A067A2">
      <w:pPr>
        <w:numPr>
          <w:ilvl w:val="0"/>
          <w:numId w:val="32"/>
        </w:numPr>
        <w:jc w:val="both"/>
      </w:pPr>
      <w:r w:rsidRPr="00D974AB">
        <w:t>Εάν έχει προηγηθεί ενδοαρθρική έγχυση ή μονοθεραπεία με ΜΣΑΦ διάρκειας 2 μηνών, και, παρόλα αυτά, υπάρχει μέτρια ή υψηλή δραστηριότητα της νόσου ανεξάρτητα από την παρουσία ή όχι δυσμενών προγνωστικών παραγόντων. Δεν συστήνεται σουλφασαλαζίνη στους ασθενείς που δεν ανήκουν σ’ αυτήν την κατηγορία της νόσου.</w:t>
      </w:r>
    </w:p>
    <w:p w:rsidR="00D974AB" w:rsidRPr="00D974AB" w:rsidRDefault="00D974AB" w:rsidP="00A067A2">
      <w:pPr>
        <w:jc w:val="both"/>
      </w:pPr>
    </w:p>
    <w:p w:rsidR="00D974AB" w:rsidRPr="00D974AB" w:rsidRDefault="00D974AB" w:rsidP="00A067A2">
      <w:pPr>
        <w:jc w:val="both"/>
      </w:pPr>
      <w:r w:rsidRPr="00D974AB">
        <w:rPr>
          <w:b/>
          <w:i/>
        </w:rPr>
        <w:t xml:space="preserve">Αναστολείς του </w:t>
      </w:r>
      <w:r w:rsidRPr="00D974AB">
        <w:rPr>
          <w:b/>
          <w:i/>
          <w:lang w:bidi="en-US"/>
        </w:rPr>
        <w:t>TNF</w:t>
      </w:r>
      <w:r w:rsidRPr="00D974AB">
        <w:rPr>
          <w:b/>
          <w:i/>
        </w:rPr>
        <w:t>-α (</w:t>
      </w:r>
      <w:r w:rsidRPr="00D974AB">
        <w:rPr>
          <w:b/>
          <w:i/>
          <w:lang w:bidi="en-US"/>
        </w:rPr>
        <w:t>TNF</w:t>
      </w:r>
      <w:r w:rsidRPr="00D974AB">
        <w:rPr>
          <w:b/>
          <w:i/>
        </w:rPr>
        <w:t xml:space="preserve">-α </w:t>
      </w:r>
      <w:r w:rsidRPr="00D974AB">
        <w:rPr>
          <w:b/>
          <w:i/>
          <w:lang w:bidi="en-US"/>
        </w:rPr>
        <w:t>inhibitors</w:t>
      </w:r>
      <w:r w:rsidRPr="00D974AB">
        <w:rPr>
          <w:b/>
          <w:i/>
        </w:rPr>
        <w:t xml:space="preserve">,  </w:t>
      </w:r>
      <w:r w:rsidRPr="00D974AB">
        <w:rPr>
          <w:b/>
          <w:i/>
          <w:lang w:bidi="en-US"/>
        </w:rPr>
        <w:t>TNF</w:t>
      </w:r>
      <w:r w:rsidRPr="00D974AB">
        <w:rPr>
          <w:b/>
          <w:i/>
        </w:rPr>
        <w:t>α</w:t>
      </w:r>
      <w:r w:rsidR="00C27AAB">
        <w:rPr>
          <w:b/>
          <w:i/>
          <w:lang w:val="en-US" w:bidi="en-US"/>
        </w:rPr>
        <w:t>i</w:t>
      </w:r>
      <w:r w:rsidR="00C27AAB" w:rsidRPr="00C27AAB">
        <w:rPr>
          <w:b/>
          <w:i/>
          <w:lang w:bidi="en-US"/>
        </w:rPr>
        <w:t>)</w:t>
      </w:r>
      <w:r w:rsidRPr="00C27AAB">
        <w:rPr>
          <w:b/>
          <w:i/>
        </w:rPr>
        <w:t>.</w:t>
      </w:r>
      <w:r w:rsidRPr="00D974AB">
        <w:t xml:space="preserve"> Χορήγηση ενός </w:t>
      </w:r>
      <w:r w:rsidRPr="00D974AB">
        <w:rPr>
          <w:lang w:bidi="en-US"/>
        </w:rPr>
        <w:t>TNF</w:t>
      </w:r>
      <w:r w:rsidRPr="00D974AB">
        <w:t>-α</w:t>
      </w:r>
      <w:r w:rsidRPr="00D974AB">
        <w:rPr>
          <w:lang w:bidi="en-US"/>
        </w:rPr>
        <w:t>i</w:t>
      </w:r>
      <w:r w:rsidRPr="00D974AB">
        <w:t xml:space="preserve"> συστήνεται:</w:t>
      </w:r>
    </w:p>
    <w:p w:rsidR="00D974AB" w:rsidRPr="00D974AB" w:rsidRDefault="00D974AB" w:rsidP="00A067A2">
      <w:pPr>
        <w:numPr>
          <w:ilvl w:val="0"/>
          <w:numId w:val="32"/>
        </w:numPr>
        <w:jc w:val="both"/>
      </w:pPr>
      <w:r w:rsidRPr="00D974AB">
        <w:t xml:space="preserve">Για ασθενείς,  οι οποίοι έχουν κάνει ενδοαρθρικές εγχύσεις ΚΣ και έχουν πάρει μεθοτρεξάτη  στη μέγιστη συνιστώμενη δόση για τουλάχιστον 3 μήνες και παρόλα αυτά έχουν μέτρια ή υψηλή δραστηριότητα της νόσου και παρουσία δυσμενών προγνωστικών παραγόντων. </w:t>
      </w:r>
    </w:p>
    <w:p w:rsidR="00D974AB" w:rsidRPr="00D974AB" w:rsidRDefault="00D974AB" w:rsidP="00A067A2">
      <w:pPr>
        <w:numPr>
          <w:ilvl w:val="0"/>
          <w:numId w:val="32"/>
        </w:numPr>
        <w:jc w:val="both"/>
      </w:pPr>
      <w:r w:rsidRPr="00D974AB">
        <w:t xml:space="preserve">Για  ασθενείς  που έχουν κάνει ενδοαρθρικές εγχύσεις ΚΣ και έχουν πάρει μεθοτρεξάτη  για 6 μήνες  και παρόλα αυτά έχουν υψηλή δραστηριότητα της νόσου  χωρίς να έχουν δυσμενείς προγνωστικούς  παράγοντες. </w:t>
      </w:r>
    </w:p>
    <w:p w:rsidR="00D974AB" w:rsidRPr="00D974AB" w:rsidRDefault="00D974AB" w:rsidP="00A067A2">
      <w:pPr>
        <w:numPr>
          <w:ilvl w:val="0"/>
          <w:numId w:val="32"/>
        </w:numPr>
        <w:jc w:val="both"/>
      </w:pPr>
      <w:r w:rsidRPr="00D974AB">
        <w:t>Για ασθενείς  που ανήκουν στην κατηγορία της αρθρίτιδας που σχετίζεται με ενθεσίτιδα, οι οποίοι έχουν κάνει ενδοαρθρικές εγχύσεις ΚΣ  και έχουν πάρει σουλφασαλαζίνη επί 3μηνο, (χωρίς να έχει προηγηθεί απαραίτητα</w:t>
      </w:r>
      <w:r w:rsidRPr="00D974AB">
        <w:rPr>
          <w:b/>
        </w:rPr>
        <w:t xml:space="preserve"> </w:t>
      </w:r>
      <w:r w:rsidRPr="00D974AB">
        <w:t xml:space="preserve">μεθοτρεξάτη), και παρόλα αυτά εξακολουθούν να έχουν μέτρια ή υψηλή δραστηριότητα της νόσου, ανεξάρτητα από την παρουσία ή όχι δυσμενών προγνωστικών παραγόντων.  </w:t>
      </w:r>
    </w:p>
    <w:p w:rsidR="00D974AB" w:rsidRPr="00D974AB" w:rsidRDefault="00D974AB" w:rsidP="00A067A2">
      <w:pPr>
        <w:jc w:val="both"/>
      </w:pPr>
      <w:r w:rsidRPr="00D974AB">
        <w:t xml:space="preserve">Το αποτέλεσμα της χορήγησης άλλων βιολογικών παραγόντων (πχ </w:t>
      </w:r>
      <w:r w:rsidRPr="00D974AB">
        <w:rPr>
          <w:lang w:bidi="en-US"/>
        </w:rPr>
        <w:t>Abatacept</w:t>
      </w:r>
      <w:r w:rsidRPr="00D974AB">
        <w:t xml:space="preserve">), ή άλλων συνθετικών </w:t>
      </w:r>
      <w:r w:rsidRPr="00D974AB">
        <w:rPr>
          <w:lang w:bidi="en-US"/>
        </w:rPr>
        <w:t>DMARDs</w:t>
      </w:r>
      <w:r w:rsidRPr="00D974AB">
        <w:t xml:space="preserve">  (υδροξυχλωροκίνης,  λεφλουνομίδης) σ’ αυτή την ομάδα δεν είναι βέβαιο. </w:t>
      </w:r>
    </w:p>
    <w:p w:rsidR="00D974AB" w:rsidRPr="00D974AB" w:rsidRDefault="00D974AB" w:rsidP="00A067A2">
      <w:pPr>
        <w:jc w:val="both"/>
      </w:pPr>
    </w:p>
    <w:p w:rsidR="00D974AB" w:rsidRPr="00D974AB" w:rsidRDefault="00D974AB" w:rsidP="00A067A2">
      <w:pPr>
        <w:jc w:val="both"/>
      </w:pPr>
    </w:p>
    <w:p w:rsidR="00D974AB" w:rsidRPr="00D974AB" w:rsidRDefault="00D974AB" w:rsidP="00A067A2">
      <w:pPr>
        <w:jc w:val="both"/>
      </w:pPr>
      <w:r w:rsidRPr="00D974AB">
        <w:rPr>
          <w:b/>
          <w:i/>
        </w:rPr>
        <w:t>2</w:t>
      </w:r>
      <w:r w:rsidRPr="00D974AB">
        <w:rPr>
          <w:b/>
          <w:i/>
          <w:vertAlign w:val="superscript"/>
        </w:rPr>
        <w:t>Η</w:t>
      </w:r>
      <w:r w:rsidRPr="00D974AB">
        <w:rPr>
          <w:b/>
          <w:i/>
        </w:rPr>
        <w:t xml:space="preserve"> ΘΕΡΑΠΕΥΤΙΚΗ ΟΜΑΔΑ: ΑΣΘΕΝΕΙΣ ΜΕ ΙΣΤΟΡΙΚΟ  ΑΡΘΡΙΤΙΔΑΣ ΣΕ 5 ΤΟΥΛΑΧΙΣΤΟΝ  ΑΡΘΡΩΣΕΙΣ (ΠΟΛΥΑΡΘΡΙΤΙΔΑ</w:t>
      </w:r>
      <w:r w:rsidRPr="00D974AB">
        <w:rPr>
          <w:b/>
        </w:rPr>
        <w:t>)</w:t>
      </w:r>
      <w:r w:rsidRPr="00D974AB">
        <w:t>:</w:t>
      </w:r>
    </w:p>
    <w:p w:rsidR="00D974AB" w:rsidRPr="00D974AB" w:rsidRDefault="00D974AB" w:rsidP="00A067A2">
      <w:pPr>
        <w:jc w:val="both"/>
      </w:pPr>
      <w:r w:rsidRPr="00D974AB">
        <w:t>Εντάσσονται ασθενείς με πολυαρθρίτιδα (</w:t>
      </w:r>
      <w:r w:rsidRPr="00D974AB">
        <w:rPr>
          <w:lang w:bidi="en-US"/>
        </w:rPr>
        <w:t>RF</w:t>
      </w:r>
      <w:r w:rsidRPr="00D974AB">
        <w:t xml:space="preserve"> θετικοί ή αρνητικοί), κάποιοι από τους ασθενείς με ψωριασική αρθρίτιδα, κάποιοι με αρθρίτιδα που σχετίζεται με ενθεσίτιδα και ορισμένοι με αταξινόμητη αρθρίτιδα, οι οποίοι, σ’ όλη τη διάρκεια της νόσου, έχουν προσβολή  τουλάχιστον 5 αρθρώσεων.</w:t>
      </w:r>
    </w:p>
    <w:p w:rsidR="00D974AB" w:rsidRPr="009062FD" w:rsidRDefault="00D974AB" w:rsidP="00A067A2">
      <w:pPr>
        <w:jc w:val="both"/>
      </w:pPr>
      <w:r w:rsidRPr="00D974AB">
        <w:t xml:space="preserve">Η διαβάθμιση δραστηριότητας της νόσου σε 3 επίπεδα και οι  δυσμενείς προγνωστικοί παράγοντες  </w:t>
      </w:r>
      <w:r w:rsidRPr="009062FD">
        <w:t xml:space="preserve">γι’ αυτή τη «θεραπευτική ομάδα» ασθενών με ΝΙΑ, παρατίθεται στον </w:t>
      </w:r>
      <w:r w:rsidR="00B74241" w:rsidRPr="009062FD">
        <w:t>Π</w:t>
      </w:r>
      <w:r w:rsidRPr="009062FD">
        <w:t>ίνακα 3. Σχηματικά, η όλη στρατηγική της θεραπείας φαίνεται στον αλγόριθμο/</w:t>
      </w:r>
      <w:r w:rsidR="00F90BA4" w:rsidRPr="009062FD">
        <w:t>σ</w:t>
      </w:r>
      <w:r w:rsidRPr="009062FD">
        <w:t>χήμα 1.</w:t>
      </w:r>
    </w:p>
    <w:p w:rsidR="00D974AB" w:rsidRPr="00D974AB" w:rsidRDefault="00D974AB" w:rsidP="00A067A2">
      <w:pPr>
        <w:jc w:val="both"/>
      </w:pPr>
    </w:p>
    <w:p w:rsidR="00D974AB" w:rsidRPr="00D974AB" w:rsidRDefault="00D974AB" w:rsidP="00A067A2">
      <w:pPr>
        <w:jc w:val="both"/>
        <w:rPr>
          <w:b/>
        </w:rPr>
      </w:pPr>
      <w:r w:rsidRPr="00D974AB">
        <w:rPr>
          <w:b/>
        </w:rPr>
        <w:t>Θεραπεία</w:t>
      </w:r>
    </w:p>
    <w:p w:rsidR="00D974AB" w:rsidRPr="00D974AB" w:rsidRDefault="00D974AB" w:rsidP="00A067A2">
      <w:pPr>
        <w:jc w:val="both"/>
      </w:pPr>
      <w:r w:rsidRPr="00D974AB">
        <w:rPr>
          <w:b/>
          <w:i/>
        </w:rPr>
        <w:t>Μονοθεραπεία  με ΜΣΑΦ:</w:t>
      </w:r>
      <w:r w:rsidRPr="00D974AB">
        <w:rPr>
          <w:b/>
        </w:rPr>
        <w:t xml:space="preserve"> </w:t>
      </w:r>
      <w:r w:rsidRPr="00D974AB">
        <w:t>Η έναρξη  μονοθεραπείας  με ΜΣΑΦ και χωρίς  ενδοαρθρική έγχυση ΚΣ, δεν αποδίδει συνήθως στους ασθενείς με ενεργό πολυαρθρίτιδα.  Επιπλέον, ανεξάρτητα από την παρουσία ή όχι δυσμενών προγνωστικών παραγόντων, η συνέχιση της θεραπείας με ΜΣΑΦ για περισσότερο από 2 μήνες, σε παραμένουσα ενεργό αρθρίτιδα δεν έχει θέση.</w:t>
      </w:r>
    </w:p>
    <w:p w:rsidR="00D974AB" w:rsidRPr="00D974AB" w:rsidRDefault="00D974AB" w:rsidP="00A067A2">
      <w:pPr>
        <w:jc w:val="both"/>
        <w:rPr>
          <w:b/>
        </w:rPr>
      </w:pPr>
    </w:p>
    <w:p w:rsidR="00D974AB" w:rsidRPr="00D974AB" w:rsidRDefault="00D974AB" w:rsidP="00A067A2">
      <w:pPr>
        <w:jc w:val="both"/>
        <w:rPr>
          <w:b/>
        </w:rPr>
      </w:pPr>
      <w:r w:rsidRPr="00D974AB">
        <w:rPr>
          <w:b/>
          <w:i/>
        </w:rPr>
        <w:t>Κορτικοστεροειδή:</w:t>
      </w:r>
      <w:r w:rsidRPr="00D974AB">
        <w:rPr>
          <w:b/>
        </w:rPr>
        <w:t xml:space="preserve"> </w:t>
      </w:r>
      <w:r w:rsidRPr="00D974AB">
        <w:t xml:space="preserve">Μπορεί να χορηγηθούν συστηματικά βραχυχρόνια, μέχρι να δράσουν τα </w:t>
      </w:r>
      <w:r w:rsidRPr="00D974AB">
        <w:rPr>
          <w:lang w:bidi="en-US"/>
        </w:rPr>
        <w:t>DMARDS</w:t>
      </w:r>
      <w:r w:rsidRPr="00D974AB">
        <w:t>.</w:t>
      </w:r>
    </w:p>
    <w:p w:rsidR="00D974AB" w:rsidRPr="00D974AB" w:rsidRDefault="00D974AB" w:rsidP="00A067A2">
      <w:pPr>
        <w:jc w:val="both"/>
        <w:rPr>
          <w:b/>
          <w:i/>
        </w:rPr>
      </w:pPr>
      <w:r w:rsidRPr="00D974AB">
        <w:rPr>
          <w:b/>
          <w:i/>
        </w:rPr>
        <w:t xml:space="preserve">Συνθετικά </w:t>
      </w:r>
      <w:r w:rsidRPr="00D974AB">
        <w:rPr>
          <w:b/>
          <w:i/>
          <w:lang w:bidi="en-US"/>
        </w:rPr>
        <w:t>DMARDs</w:t>
      </w:r>
    </w:p>
    <w:p w:rsidR="00D974AB" w:rsidRPr="00D974AB" w:rsidRDefault="00D974AB" w:rsidP="00A067A2">
      <w:pPr>
        <w:jc w:val="both"/>
        <w:rPr>
          <w:b/>
        </w:rPr>
      </w:pPr>
      <w:r w:rsidRPr="00D974AB">
        <w:rPr>
          <w:b/>
          <w:i/>
        </w:rPr>
        <w:t xml:space="preserve">Μεθοτρεξάτη </w:t>
      </w:r>
      <w:r w:rsidRPr="00D974AB">
        <w:rPr>
          <w:b/>
        </w:rPr>
        <w:t>:</w:t>
      </w:r>
      <w:r w:rsidRPr="00D974AB">
        <w:t xml:space="preserve"> Η χορήγηση μεθοτρεξάτης συστήνεται :</w:t>
      </w:r>
    </w:p>
    <w:p w:rsidR="00D974AB" w:rsidRPr="00D974AB" w:rsidRDefault="00D974AB" w:rsidP="00A067A2">
      <w:pPr>
        <w:numPr>
          <w:ilvl w:val="0"/>
          <w:numId w:val="11"/>
        </w:numPr>
        <w:jc w:val="both"/>
      </w:pPr>
      <w:r w:rsidRPr="00D974AB">
        <w:t>Ως αρχική θεραπεία σε ασθενείς με υψηλή δραστηριότητα της νόσου, ανεξάρτητα από την παρουσία ή όχι δυσμενών προγνωστικών παραγόντων</w:t>
      </w:r>
    </w:p>
    <w:p w:rsidR="00D974AB" w:rsidRPr="00D974AB" w:rsidRDefault="00D974AB" w:rsidP="00A067A2">
      <w:pPr>
        <w:numPr>
          <w:ilvl w:val="0"/>
          <w:numId w:val="11"/>
        </w:numPr>
        <w:jc w:val="both"/>
      </w:pPr>
      <w:r w:rsidRPr="00D974AB">
        <w:t xml:space="preserve">Ως αρχική θεραπεία σε ασθενείς με μέτρια δραστηριότητα της νόσου και παρουσία δυσμενών προγνωστικών παραγόντων. </w:t>
      </w:r>
    </w:p>
    <w:p w:rsidR="00D974AB" w:rsidRPr="00D974AB" w:rsidRDefault="00D974AB" w:rsidP="00A067A2">
      <w:pPr>
        <w:numPr>
          <w:ilvl w:val="0"/>
          <w:numId w:val="11"/>
        </w:numPr>
        <w:jc w:val="both"/>
      </w:pPr>
      <w:r w:rsidRPr="00D974AB">
        <w:t>Μετά από έναν περίπου μήνα θεραπείας με ΜΣΑΦ σε ασθενείς με χαμηλή δραστηριότητα της νόσου και παρουσία δυσμενών προγνωστικών παραγόντων.</w:t>
      </w:r>
    </w:p>
    <w:p w:rsidR="00D974AB" w:rsidRPr="00D974AB" w:rsidRDefault="00D974AB" w:rsidP="00A067A2">
      <w:pPr>
        <w:numPr>
          <w:ilvl w:val="0"/>
          <w:numId w:val="11"/>
        </w:numPr>
        <w:jc w:val="both"/>
      </w:pPr>
      <w:r w:rsidRPr="00D974AB">
        <w:t>Μετά από 1 – 2 περίπου μήνες θεραπείας με ΜΣΑΦ χωρίς αποτέλεσμα, σε ασθενείς με μέτρια δραστηριότητα της νόσου χωρίς παρουσία δυσμενών προγνωστικών παραγόντων.</w:t>
      </w:r>
    </w:p>
    <w:p w:rsidR="00D974AB" w:rsidRPr="00D974AB" w:rsidRDefault="00D974AB" w:rsidP="00A067A2">
      <w:pPr>
        <w:jc w:val="both"/>
      </w:pPr>
      <w:r w:rsidRPr="00D974AB">
        <w:rPr>
          <w:b/>
          <w:i/>
        </w:rPr>
        <w:t>Λεφλουνομίδη</w:t>
      </w:r>
      <w:r w:rsidRPr="00D974AB">
        <w:rPr>
          <w:b/>
        </w:rPr>
        <w:t xml:space="preserve">: </w:t>
      </w:r>
      <w:r w:rsidRPr="00D974AB">
        <w:t xml:space="preserve">Η επιτροπή του </w:t>
      </w:r>
      <w:r w:rsidRPr="00D974AB">
        <w:rPr>
          <w:lang w:bidi="en-US"/>
        </w:rPr>
        <w:t>ACR</w:t>
      </w:r>
      <w:r w:rsidRPr="00D974AB">
        <w:t xml:space="preserve"> εκτιμά ότι η μεθοτρεξάτη υπερέχει της λεφλουνομίδης, βάσει της προσωπικής αλλά και της συνολικής δημοσιευμένης εμπειρίας. Η χορήγησή της συστήνεται:</w:t>
      </w:r>
    </w:p>
    <w:p w:rsidR="00D974AB" w:rsidRPr="00D974AB" w:rsidRDefault="00D974AB" w:rsidP="00A067A2">
      <w:pPr>
        <w:numPr>
          <w:ilvl w:val="0"/>
          <w:numId w:val="12"/>
        </w:numPr>
        <w:jc w:val="both"/>
      </w:pPr>
      <w:r w:rsidRPr="00D974AB">
        <w:t>Ως αρχική μονοθεραπεία σε ασθενείς με υψηλή δραστηριότητα  της νόσου και παρουσία δυσμενών παραγόντων.</w:t>
      </w:r>
    </w:p>
    <w:p w:rsidR="00D974AB" w:rsidRPr="00D974AB" w:rsidRDefault="00D974AB" w:rsidP="00A067A2">
      <w:pPr>
        <w:numPr>
          <w:ilvl w:val="0"/>
          <w:numId w:val="12"/>
        </w:numPr>
        <w:jc w:val="both"/>
      </w:pPr>
      <w:r w:rsidRPr="00D974AB">
        <w:t>Ως αρχική μονοθεραπεία σε ασθενείς με υψηλή δραστηριότητα της  νόσου επί απουσίας δυσμενών προγνωστικών παραγόντων, εφόσον προηγήθηκε θεραπεία με ΜΣΑΦ.</w:t>
      </w:r>
    </w:p>
    <w:p w:rsidR="00D974AB" w:rsidRPr="00D974AB" w:rsidRDefault="00D974AB" w:rsidP="00A067A2">
      <w:pPr>
        <w:numPr>
          <w:ilvl w:val="0"/>
          <w:numId w:val="12"/>
        </w:numPr>
        <w:jc w:val="both"/>
      </w:pPr>
      <w:r w:rsidRPr="00D974AB">
        <w:t>Ως  αρχική μονοθεραπεία σε ασθενείς με μέτρια δραστηριότητα της νόσου και  με παρουσία δυσμενών προγνωστικών παραγόντων, εφόσον προηγήθηκε θεραπεία με ΜΣΑΦ.</w:t>
      </w:r>
    </w:p>
    <w:p w:rsidR="00D974AB" w:rsidRPr="00D974AB" w:rsidRDefault="00D974AB" w:rsidP="00A067A2">
      <w:pPr>
        <w:jc w:val="both"/>
      </w:pPr>
      <w:r w:rsidRPr="00D974AB">
        <w:rPr>
          <w:b/>
          <w:i/>
        </w:rPr>
        <w:t>Υδροξυχλωροκίνη</w:t>
      </w:r>
      <w:r w:rsidRPr="00D974AB">
        <w:t>: Χορήγηση υδροξυχλωροκίνης είτε ως  μονοθεραπεία ή με/χωρίς συγχορήγηση ΜΣΑΦ δεν θεωρείται σήμερα  κατάλληλη για ασθενείς με ενεργό πολυαρθρίτιδα.</w:t>
      </w:r>
    </w:p>
    <w:p w:rsidR="00D974AB" w:rsidRPr="00D974AB" w:rsidRDefault="00D974AB" w:rsidP="00A067A2">
      <w:pPr>
        <w:jc w:val="both"/>
      </w:pPr>
      <w:r w:rsidRPr="00D974AB">
        <w:rPr>
          <w:b/>
          <w:i/>
        </w:rPr>
        <w:t>Σουλφασαλαζίνη :</w:t>
      </w:r>
      <w:r w:rsidRPr="00D974AB">
        <w:t xml:space="preserve"> Το θεραπευτικό αποτέλεσμα της σουλφασαλαζίνης είναι αβέβαιο γι’ αυτή  την ομάδα. Επιπλέον, δεν έχει αξιολογηθεί σε ασθενείς που ανήκουν στην κατηγορία της αρθρίτιδας που σχετίζεται με ενθεσίτιδα και έχουν ιστορικό προσβολής  ≥ 5 αρθρώσεις.</w:t>
      </w:r>
    </w:p>
    <w:p w:rsidR="00D974AB" w:rsidRPr="00D974AB" w:rsidRDefault="00D974AB" w:rsidP="00A067A2">
      <w:pPr>
        <w:jc w:val="both"/>
      </w:pPr>
      <w:r w:rsidRPr="00D974AB">
        <w:rPr>
          <w:b/>
          <w:i/>
        </w:rPr>
        <w:t>Συνδυασμοί συνθετικών DMARD</w:t>
      </w:r>
      <w:r w:rsidRPr="00D974AB">
        <w:rPr>
          <w:b/>
          <w:i/>
          <w:lang w:bidi="en-US"/>
        </w:rPr>
        <w:t>s</w:t>
      </w:r>
      <w:r w:rsidRPr="00D974AB">
        <w:rPr>
          <w:b/>
          <w:i/>
        </w:rPr>
        <w:t>:</w:t>
      </w:r>
      <w:r w:rsidRPr="00D974AB">
        <w:t xml:space="preserve"> </w:t>
      </w:r>
      <w:r w:rsidRPr="00D974AB">
        <w:rPr>
          <w:lang w:bidi="en-US"/>
        </w:rPr>
        <w:t>O</w:t>
      </w:r>
      <w:r w:rsidRPr="00D974AB">
        <w:t xml:space="preserve"> συνδυασμός που χρησιμοποιείται σε αρκετά παιδορευματολογικά κέντρα της Ευρώπης με πολύ καλά θεραπευτικά αποτελέσματα (δημοσιευμένη εμπειρία) είναι της μεθοτρεξάτης με κυλοσπορίνη. </w:t>
      </w:r>
      <w:r w:rsidRPr="00D974AB">
        <w:rPr>
          <w:lang w:bidi="en-US"/>
        </w:rPr>
        <w:t>O</w:t>
      </w:r>
      <w:r w:rsidRPr="00D974AB">
        <w:t xml:space="preserve"> συνδυασμός μεθοτρεξάτης με σουλφασαλαζίνη και/ή υδροξυχλωροκίνη έχει αβέβαιο αποτέλεσμα. </w:t>
      </w:r>
    </w:p>
    <w:p w:rsidR="00D974AB" w:rsidRPr="00D974AB" w:rsidRDefault="00D974AB" w:rsidP="00A067A2">
      <w:pPr>
        <w:jc w:val="both"/>
      </w:pPr>
    </w:p>
    <w:p w:rsidR="00D974AB" w:rsidRPr="00D974AB" w:rsidRDefault="00D974AB" w:rsidP="00A067A2">
      <w:pPr>
        <w:jc w:val="both"/>
        <w:rPr>
          <w:i/>
        </w:rPr>
      </w:pPr>
      <w:r w:rsidRPr="009062FD">
        <w:rPr>
          <w:b/>
        </w:rPr>
        <w:t xml:space="preserve">Βιολογικοί παράγοντες  </w:t>
      </w:r>
      <w:r w:rsidRPr="009062FD">
        <w:rPr>
          <w:i/>
        </w:rPr>
        <w:t>(κατά αλφαβητική σειρά</w:t>
      </w:r>
      <w:r w:rsidR="00880428" w:rsidRPr="009062FD">
        <w:rPr>
          <w:i/>
        </w:rPr>
        <w:t>, Πίνακας 11</w:t>
      </w:r>
      <w:r w:rsidRPr="009062FD">
        <w:rPr>
          <w:i/>
        </w:rPr>
        <w:t>)</w:t>
      </w:r>
    </w:p>
    <w:p w:rsidR="00D974AB" w:rsidRPr="00D974AB" w:rsidRDefault="00D974AB" w:rsidP="00A067A2">
      <w:pPr>
        <w:jc w:val="both"/>
        <w:rPr>
          <w:b/>
          <w:i/>
        </w:rPr>
      </w:pPr>
      <w:r w:rsidRPr="00D974AB">
        <w:rPr>
          <w:b/>
          <w:i/>
        </w:rPr>
        <w:t>Αναστολείς της συνδιέγερσης (</w:t>
      </w:r>
      <w:r w:rsidRPr="00D974AB">
        <w:rPr>
          <w:b/>
          <w:i/>
          <w:lang w:bidi="en-US"/>
        </w:rPr>
        <w:t>Abatacept</w:t>
      </w:r>
      <w:r w:rsidRPr="00D974AB">
        <w:rPr>
          <w:b/>
          <w:i/>
        </w:rPr>
        <w:t>) συστήνονται:</w:t>
      </w:r>
    </w:p>
    <w:p w:rsidR="00D974AB" w:rsidRPr="00D974AB" w:rsidRDefault="00D974AB" w:rsidP="00A067A2">
      <w:pPr>
        <w:numPr>
          <w:ilvl w:val="0"/>
          <w:numId w:val="15"/>
        </w:numPr>
        <w:jc w:val="both"/>
      </w:pPr>
      <w:r w:rsidRPr="00D974AB">
        <w:t xml:space="preserve">Σε ασθενείς που έχουν πάρει έναν </w:t>
      </w:r>
      <w:r w:rsidRPr="00D974AB">
        <w:rPr>
          <w:lang w:bidi="en-US"/>
        </w:rPr>
        <w:t>TNF</w:t>
      </w:r>
      <w:r w:rsidRPr="00D974AB">
        <w:t>-α</w:t>
      </w:r>
      <w:r w:rsidRPr="00D974AB">
        <w:rPr>
          <w:lang w:bidi="en-US"/>
        </w:rPr>
        <w:t>i</w:t>
      </w:r>
      <w:r w:rsidRPr="00D974AB">
        <w:t xml:space="preserve">  για 4 μήνες και έχουν υψηλή δραστηριότητα της νόσου, ανεξάρτητα από την παρουσία ή όχι δυσμενών προγνωστικών παραγόντων. </w:t>
      </w:r>
    </w:p>
    <w:p w:rsidR="00D974AB" w:rsidRPr="00D974AB" w:rsidRDefault="00D974AB" w:rsidP="00A067A2">
      <w:pPr>
        <w:numPr>
          <w:ilvl w:val="0"/>
          <w:numId w:val="15"/>
        </w:numPr>
        <w:jc w:val="both"/>
      </w:pPr>
      <w:r w:rsidRPr="00D974AB">
        <w:t xml:space="preserve">Σε ασθενείς που έχουν πάρει διαδοχικά περισσότερους από έναν </w:t>
      </w:r>
      <w:r w:rsidRPr="00D974AB">
        <w:rPr>
          <w:lang w:bidi="en-US"/>
        </w:rPr>
        <w:t>TNF</w:t>
      </w:r>
      <w:r w:rsidRPr="00D974AB">
        <w:t>-α</w:t>
      </w:r>
      <w:r w:rsidRPr="00D974AB">
        <w:rPr>
          <w:lang w:bidi="en-US"/>
        </w:rPr>
        <w:t>i</w:t>
      </w:r>
      <w:r w:rsidRPr="00D974AB">
        <w:t xml:space="preserve">  και έχουν μέτρια  ή υψηλή δραστηριότητα της νόσου, ανεξάρτητα από την παρουσία ή όχι δυσμενών προγνωστικών παραγόντων.</w:t>
      </w:r>
    </w:p>
    <w:p w:rsidR="00D974AB" w:rsidRPr="00D974AB" w:rsidRDefault="00D974AB" w:rsidP="00A067A2">
      <w:pPr>
        <w:numPr>
          <w:ilvl w:val="0"/>
          <w:numId w:val="15"/>
        </w:numPr>
        <w:jc w:val="both"/>
      </w:pPr>
      <w:r w:rsidRPr="00D974AB">
        <w:t xml:space="preserve">Σε ασθενείς που έχουν πάρει διαδοχικά περισσότερους από έναν </w:t>
      </w:r>
      <w:r w:rsidRPr="00D974AB">
        <w:rPr>
          <w:lang w:bidi="en-US"/>
        </w:rPr>
        <w:t>TNF</w:t>
      </w:r>
      <w:r w:rsidRPr="00D974AB">
        <w:t>-α</w:t>
      </w:r>
      <w:r w:rsidRPr="00D974AB">
        <w:rPr>
          <w:lang w:bidi="en-US"/>
        </w:rPr>
        <w:t>i</w:t>
      </w:r>
      <w:r w:rsidRPr="00D974AB">
        <w:t xml:space="preserve">  και έχουν χαμηλή δραστηριότητα της  νόσου με παρουσία δυσμενών προγνωστικών παραγόντων.</w:t>
      </w:r>
    </w:p>
    <w:p w:rsidR="00D974AB" w:rsidRPr="00D974AB" w:rsidRDefault="00D974AB" w:rsidP="00A067A2">
      <w:pPr>
        <w:jc w:val="both"/>
      </w:pPr>
    </w:p>
    <w:p w:rsidR="00D974AB" w:rsidRPr="00D974AB" w:rsidRDefault="00D974AB" w:rsidP="00A067A2">
      <w:pPr>
        <w:jc w:val="both"/>
        <w:rPr>
          <w:i/>
        </w:rPr>
      </w:pPr>
      <w:r w:rsidRPr="00D974AB">
        <w:rPr>
          <w:b/>
          <w:i/>
        </w:rPr>
        <w:t xml:space="preserve">Αναστολείς του </w:t>
      </w:r>
      <w:r w:rsidRPr="00D974AB">
        <w:rPr>
          <w:b/>
          <w:i/>
          <w:lang w:bidi="en-US"/>
        </w:rPr>
        <w:t>TNF</w:t>
      </w:r>
      <w:r w:rsidRPr="00D974AB">
        <w:rPr>
          <w:b/>
          <w:i/>
        </w:rPr>
        <w:t>-α (Τ</w:t>
      </w:r>
      <w:r w:rsidRPr="00D974AB">
        <w:rPr>
          <w:b/>
          <w:i/>
          <w:lang w:bidi="en-US"/>
        </w:rPr>
        <w:t>NF</w:t>
      </w:r>
      <w:r w:rsidRPr="00D974AB">
        <w:rPr>
          <w:b/>
          <w:i/>
        </w:rPr>
        <w:t>-α</w:t>
      </w:r>
      <w:r w:rsidRPr="00D974AB">
        <w:rPr>
          <w:b/>
          <w:i/>
          <w:lang w:bidi="en-US"/>
        </w:rPr>
        <w:t>i</w:t>
      </w:r>
      <w:r w:rsidRPr="00D974AB">
        <w:rPr>
          <w:b/>
          <w:i/>
        </w:rPr>
        <w:t xml:space="preserve"> , </w:t>
      </w:r>
      <w:r w:rsidRPr="00D974AB">
        <w:rPr>
          <w:b/>
          <w:i/>
          <w:lang w:bidi="en-US"/>
        </w:rPr>
        <w:t>Adalimumab</w:t>
      </w:r>
      <w:r w:rsidRPr="00D974AB">
        <w:rPr>
          <w:b/>
          <w:i/>
        </w:rPr>
        <w:t xml:space="preserve">, </w:t>
      </w:r>
      <w:r w:rsidRPr="00D974AB">
        <w:rPr>
          <w:b/>
          <w:i/>
          <w:lang w:bidi="en-US"/>
        </w:rPr>
        <w:t>Etanercept</w:t>
      </w:r>
      <w:r w:rsidRPr="00D974AB">
        <w:rPr>
          <w:b/>
          <w:i/>
        </w:rPr>
        <w:t xml:space="preserve">, </w:t>
      </w:r>
      <w:r w:rsidRPr="00D974AB">
        <w:rPr>
          <w:b/>
          <w:i/>
          <w:lang w:bidi="en-US"/>
        </w:rPr>
        <w:t>Infliximab</w:t>
      </w:r>
      <w:r w:rsidRPr="00D974AB">
        <w:rPr>
          <w:b/>
          <w:i/>
        </w:rPr>
        <w:t>) συστήνονται:</w:t>
      </w:r>
    </w:p>
    <w:p w:rsidR="00D974AB" w:rsidRPr="00D974AB" w:rsidRDefault="00D974AB" w:rsidP="00A067A2">
      <w:pPr>
        <w:numPr>
          <w:ilvl w:val="0"/>
          <w:numId w:val="13"/>
        </w:numPr>
        <w:jc w:val="both"/>
      </w:pPr>
      <w:r w:rsidRPr="00D974AB">
        <w:t>Σε  ασθενείς που έχουν πάρει μεθοτρεξάτη ή λεφλουνομίδη για 3 μήνες στη μεγαλύτερη προβλεπόμενη δόση και έχουν μέτρια ή υψηλή δραστηριότητα της νόσου, ανεξάρτητα από την παρουσία ή όχι δυσμενών προγνωστικών παραγόντων.</w:t>
      </w:r>
    </w:p>
    <w:p w:rsidR="00D974AB" w:rsidRPr="00D974AB" w:rsidRDefault="00D974AB" w:rsidP="00A067A2">
      <w:pPr>
        <w:numPr>
          <w:ilvl w:val="0"/>
          <w:numId w:val="13"/>
        </w:numPr>
        <w:jc w:val="both"/>
      </w:pPr>
      <w:r w:rsidRPr="00D974AB">
        <w:t>Σε ασθενείς που έχουν πάρει μεθοτρεξάτη ή λεφλουνομίδη για 6 μήνες και έχουν χαμηλή δραστηριότητα της νόσου, ανεξάρτητα από την παρουσία ή όχι δυσμενών προγνωστικών παραγόντων.</w:t>
      </w:r>
    </w:p>
    <w:p w:rsidR="00D974AB" w:rsidRPr="00D974AB" w:rsidRDefault="00D974AB" w:rsidP="00A067A2">
      <w:pPr>
        <w:jc w:val="both"/>
      </w:pPr>
    </w:p>
    <w:p w:rsidR="00D974AB" w:rsidRPr="00D974AB" w:rsidRDefault="00D974AB" w:rsidP="00A067A2">
      <w:pPr>
        <w:jc w:val="both"/>
        <w:rPr>
          <w:i/>
        </w:rPr>
      </w:pPr>
      <w:r w:rsidRPr="00D974AB">
        <w:rPr>
          <w:b/>
          <w:i/>
        </w:rPr>
        <w:t xml:space="preserve">Μετακίνηση από έναν </w:t>
      </w:r>
      <w:r w:rsidRPr="00D974AB">
        <w:rPr>
          <w:b/>
          <w:i/>
          <w:lang w:bidi="en-US"/>
        </w:rPr>
        <w:t>TNF</w:t>
      </w:r>
      <w:r w:rsidRPr="00D974AB">
        <w:rPr>
          <w:b/>
          <w:i/>
        </w:rPr>
        <w:t>-α</w:t>
      </w:r>
      <w:r w:rsidRPr="00D974AB">
        <w:rPr>
          <w:b/>
          <w:i/>
          <w:lang w:bidi="en-US"/>
        </w:rPr>
        <w:t>i</w:t>
      </w:r>
      <w:r w:rsidRPr="00D974AB">
        <w:rPr>
          <w:b/>
          <w:i/>
        </w:rPr>
        <w:t xml:space="preserve">  σε άλλον  </w:t>
      </w:r>
      <w:r w:rsidRPr="00D974AB">
        <w:t>συστήνεται , ως  εναλλακτική θεραπεία</w:t>
      </w:r>
      <w:r w:rsidRPr="00D974AB">
        <w:rPr>
          <w:i/>
        </w:rPr>
        <w:t>:</w:t>
      </w:r>
    </w:p>
    <w:p w:rsidR="00D974AB" w:rsidRPr="00D974AB" w:rsidRDefault="00D974AB" w:rsidP="00A067A2">
      <w:pPr>
        <w:numPr>
          <w:ilvl w:val="0"/>
          <w:numId w:val="14"/>
        </w:numPr>
        <w:jc w:val="both"/>
      </w:pPr>
      <w:r w:rsidRPr="00D974AB">
        <w:t xml:space="preserve">Σε ασθενείς που έχουν πάρει έναν </w:t>
      </w:r>
      <w:r w:rsidRPr="00D974AB">
        <w:rPr>
          <w:lang w:bidi="en-US"/>
        </w:rPr>
        <w:t>TNF</w:t>
      </w:r>
      <w:r w:rsidRPr="00D974AB">
        <w:t>-α</w:t>
      </w:r>
      <w:r w:rsidRPr="00D974AB">
        <w:rPr>
          <w:lang w:bidi="en-US"/>
        </w:rPr>
        <w:t>i</w:t>
      </w:r>
      <w:r w:rsidRPr="00D974AB">
        <w:t xml:space="preserve">  για 4 μήνες και παραμένουν σε μέτρια ή υψηλή  δραστηριότητα της νόσου, ανεξάρτητα από την παρουσία ή όχι δυσμενών προγνωστικών παραγόντων. </w:t>
      </w:r>
    </w:p>
    <w:p w:rsidR="00D974AB" w:rsidRPr="00D974AB" w:rsidRDefault="00D974AB" w:rsidP="00A067A2">
      <w:pPr>
        <w:numPr>
          <w:ilvl w:val="0"/>
          <w:numId w:val="14"/>
        </w:numPr>
        <w:jc w:val="both"/>
      </w:pPr>
      <w:r w:rsidRPr="00D974AB">
        <w:t xml:space="preserve">Σε ασθενείς που έχουν πάρει </w:t>
      </w:r>
      <w:r w:rsidRPr="00D974AB">
        <w:rPr>
          <w:lang w:bidi="en-US"/>
        </w:rPr>
        <w:t>Abatacept</w:t>
      </w:r>
      <w:r w:rsidRPr="00D974AB">
        <w:t xml:space="preserve"> για 3 μήνες και  έχουν υψηλή δραστηριότητα της νόσου και παρουσία δυσμενών προγνωστικών παραγόντων.</w:t>
      </w:r>
    </w:p>
    <w:p w:rsidR="00D974AB" w:rsidRPr="00D974AB" w:rsidRDefault="00D974AB" w:rsidP="00A067A2">
      <w:pPr>
        <w:numPr>
          <w:ilvl w:val="0"/>
          <w:numId w:val="14"/>
        </w:numPr>
        <w:jc w:val="both"/>
        <w:rPr>
          <w:i/>
        </w:rPr>
      </w:pPr>
      <w:r w:rsidRPr="00D974AB">
        <w:t xml:space="preserve">Σε ασθενείς που έχουν πάρει </w:t>
      </w:r>
      <w:r w:rsidRPr="00D974AB">
        <w:rPr>
          <w:lang w:bidi="en-US"/>
        </w:rPr>
        <w:t>Abatacept</w:t>
      </w:r>
      <w:r w:rsidRPr="00D974AB">
        <w:t xml:space="preserve"> για 6 μήνες και  έχουν μέτρια ή υψηλή δραστηριότητα της νόσου, ανεξάρτητα από την παρουσία ή όχι δυσμενών προγνωστικών παραγόντων.</w:t>
      </w:r>
    </w:p>
    <w:p w:rsidR="00D974AB" w:rsidRPr="00D974AB" w:rsidRDefault="00D974AB" w:rsidP="00A067A2">
      <w:pPr>
        <w:jc w:val="both"/>
        <w:rPr>
          <w:b/>
          <w:i/>
        </w:rPr>
      </w:pPr>
    </w:p>
    <w:p w:rsidR="00D974AB" w:rsidRPr="00D974AB" w:rsidRDefault="00D974AB" w:rsidP="00A067A2">
      <w:pPr>
        <w:jc w:val="both"/>
        <w:rPr>
          <w:b/>
          <w:i/>
        </w:rPr>
      </w:pPr>
      <w:r w:rsidRPr="00D974AB">
        <w:rPr>
          <w:b/>
          <w:i/>
        </w:rPr>
        <w:t xml:space="preserve">Αναστολείς της </w:t>
      </w:r>
      <w:r w:rsidRPr="00D974AB">
        <w:rPr>
          <w:b/>
          <w:i/>
          <w:lang w:bidi="en-US"/>
        </w:rPr>
        <w:t>IL</w:t>
      </w:r>
      <w:r w:rsidRPr="00D974AB">
        <w:rPr>
          <w:b/>
          <w:i/>
        </w:rPr>
        <w:t>-6 (</w:t>
      </w:r>
      <w:r w:rsidRPr="00D974AB">
        <w:rPr>
          <w:b/>
          <w:i/>
          <w:lang w:bidi="en-US"/>
        </w:rPr>
        <w:t>IL</w:t>
      </w:r>
      <w:r w:rsidRPr="00D974AB">
        <w:rPr>
          <w:b/>
          <w:i/>
        </w:rPr>
        <w:t>-6</w:t>
      </w:r>
      <w:r w:rsidRPr="00D974AB">
        <w:rPr>
          <w:b/>
          <w:i/>
          <w:lang w:bidi="en-US"/>
        </w:rPr>
        <w:t>i</w:t>
      </w:r>
      <w:r w:rsidRPr="00D974AB">
        <w:rPr>
          <w:b/>
          <w:i/>
        </w:rPr>
        <w:t xml:space="preserve">) </w:t>
      </w:r>
      <w:r w:rsidRPr="00D974AB">
        <w:rPr>
          <w:b/>
          <w:i/>
          <w:lang w:bidi="en-US"/>
        </w:rPr>
        <w:t>Tocilizumab</w:t>
      </w:r>
      <w:r w:rsidRPr="00D974AB">
        <w:rPr>
          <w:b/>
          <w:i/>
        </w:rPr>
        <w:t>:</w:t>
      </w:r>
    </w:p>
    <w:p w:rsidR="00D974AB" w:rsidRPr="009062FD" w:rsidRDefault="00D974AB" w:rsidP="00A067A2">
      <w:pPr>
        <w:jc w:val="both"/>
      </w:pPr>
      <w:r w:rsidRPr="009062FD">
        <w:t xml:space="preserve">Πρόσφατα εγκρίθηκε η χορήγηση </w:t>
      </w:r>
      <w:r w:rsidRPr="009062FD">
        <w:rPr>
          <w:lang w:bidi="en-US"/>
        </w:rPr>
        <w:t>Tocilizumab</w:t>
      </w:r>
      <w:r w:rsidRPr="009062FD">
        <w:t xml:space="preserve"> και για παιδιά άνω των 2 ετών με πολυαρθρική νεανική  ιδιοπαθή αρθρί</w:t>
      </w:r>
      <w:r w:rsidR="000307DD">
        <w:t>τιδα, ανθεκτική στα άλλα  DMARD</w:t>
      </w:r>
      <w:r w:rsidRPr="009062FD">
        <w:rPr>
          <w:lang w:bidi="en-US"/>
        </w:rPr>
        <w:t>s</w:t>
      </w:r>
      <w:r w:rsidRPr="009062FD">
        <w:t xml:space="preserve">. </w:t>
      </w:r>
      <w:r w:rsidRPr="009062FD">
        <w:rPr>
          <w:vertAlign w:val="superscript"/>
        </w:rPr>
        <w:t>2</w:t>
      </w:r>
      <w:r w:rsidR="00D83D50" w:rsidRPr="009062FD">
        <w:rPr>
          <w:vertAlign w:val="superscript"/>
        </w:rPr>
        <w:t>9</w:t>
      </w:r>
      <w:r w:rsidRPr="009062FD">
        <w:rPr>
          <w:vertAlign w:val="superscript"/>
        </w:rPr>
        <w:t>,</w:t>
      </w:r>
      <w:r w:rsidR="00D83D50" w:rsidRPr="009062FD">
        <w:rPr>
          <w:vertAlign w:val="superscript"/>
        </w:rPr>
        <w:t>30</w:t>
      </w:r>
    </w:p>
    <w:p w:rsidR="00D974AB" w:rsidRPr="00D974AB" w:rsidRDefault="00D974AB" w:rsidP="00A067A2">
      <w:pPr>
        <w:jc w:val="both"/>
      </w:pPr>
    </w:p>
    <w:p w:rsidR="00D974AB" w:rsidRPr="00D974AB" w:rsidRDefault="00D974AB" w:rsidP="00A067A2">
      <w:pPr>
        <w:jc w:val="both"/>
        <w:rPr>
          <w:i/>
        </w:rPr>
      </w:pPr>
      <w:r w:rsidRPr="00D974AB">
        <w:rPr>
          <w:b/>
          <w:i/>
          <w:lang w:bidi="en-US"/>
        </w:rPr>
        <w:t>A</w:t>
      </w:r>
      <w:r w:rsidRPr="00D974AB">
        <w:rPr>
          <w:b/>
          <w:i/>
        </w:rPr>
        <w:t>ναστολείς των Β κυττάρων (</w:t>
      </w:r>
      <w:r w:rsidRPr="00D974AB">
        <w:rPr>
          <w:b/>
          <w:i/>
          <w:lang w:bidi="en-US"/>
        </w:rPr>
        <w:t>Rituximab</w:t>
      </w:r>
      <w:r w:rsidRPr="00D974AB">
        <w:rPr>
          <w:b/>
          <w:i/>
        </w:rPr>
        <w:t>)  συστήνονται:</w:t>
      </w:r>
    </w:p>
    <w:p w:rsidR="00D974AB" w:rsidRPr="00D974AB" w:rsidRDefault="00D974AB" w:rsidP="00A067A2">
      <w:pPr>
        <w:numPr>
          <w:ilvl w:val="0"/>
          <w:numId w:val="16"/>
        </w:numPr>
        <w:jc w:val="both"/>
      </w:pPr>
      <w:r w:rsidRPr="00D974AB">
        <w:t xml:space="preserve">Σε ασθενείς που έχουν πάρει έναν </w:t>
      </w:r>
      <w:r w:rsidRPr="00D974AB">
        <w:rPr>
          <w:lang w:bidi="en-US"/>
        </w:rPr>
        <w:t>TNF</w:t>
      </w:r>
      <w:r w:rsidRPr="00D974AB">
        <w:t>-α</w:t>
      </w:r>
      <w:r w:rsidRPr="00D974AB">
        <w:rPr>
          <w:lang w:bidi="en-US"/>
        </w:rPr>
        <w:t>i</w:t>
      </w:r>
      <w:r w:rsidRPr="00D974AB">
        <w:t xml:space="preserve"> και στη συνέχεια </w:t>
      </w:r>
      <w:r w:rsidRPr="00D974AB">
        <w:rPr>
          <w:lang w:bidi="en-US"/>
        </w:rPr>
        <w:t>Abatacept</w:t>
      </w:r>
      <w:r w:rsidRPr="00D974AB">
        <w:t xml:space="preserve"> ή </w:t>
      </w:r>
      <w:r w:rsidRPr="00D974AB">
        <w:rPr>
          <w:lang w:bidi="en-US"/>
        </w:rPr>
        <w:t>Tocilizumab</w:t>
      </w:r>
      <w:r w:rsidRPr="00D974AB">
        <w:t xml:space="preserve"> και έχουν παραμένουσα υψηλή δραστηριότητα της νόσου, ανεξάρτητα από την παρουσία δυσμενών  προγνωστικών  παραγόντων,</w:t>
      </w:r>
    </w:p>
    <w:p w:rsidR="00D974AB" w:rsidRPr="00D974AB" w:rsidRDefault="00D974AB" w:rsidP="00A067A2">
      <w:pPr>
        <w:numPr>
          <w:ilvl w:val="0"/>
          <w:numId w:val="16"/>
        </w:numPr>
        <w:jc w:val="both"/>
      </w:pPr>
      <w:r w:rsidRPr="00D974AB">
        <w:t xml:space="preserve">Σε ασθενείς που έχουν πάρει έναν </w:t>
      </w:r>
      <w:r w:rsidRPr="00D974AB">
        <w:rPr>
          <w:lang w:bidi="en-US"/>
        </w:rPr>
        <w:t>TNFi</w:t>
      </w:r>
      <w:r w:rsidRPr="00D974AB">
        <w:t xml:space="preserve">  και στη συνέχεια </w:t>
      </w:r>
      <w:r w:rsidRPr="00D974AB">
        <w:rPr>
          <w:lang w:bidi="en-US"/>
        </w:rPr>
        <w:t>Abatacept</w:t>
      </w:r>
      <w:r w:rsidRPr="00D974AB">
        <w:t xml:space="preserve"> ή </w:t>
      </w:r>
      <w:r w:rsidRPr="00D974AB">
        <w:rPr>
          <w:lang w:bidi="en-US"/>
        </w:rPr>
        <w:t>Tocilizumab</w:t>
      </w:r>
      <w:r w:rsidRPr="00D974AB">
        <w:t xml:space="preserve"> και έχουν μέτρια δραστηριότητα της νόσου και παρουσία δυσμενών προγνωστικών παραγόντων. </w:t>
      </w:r>
    </w:p>
    <w:p w:rsidR="00D974AB" w:rsidRPr="00D974AB" w:rsidRDefault="00D974AB" w:rsidP="00A067A2">
      <w:pPr>
        <w:jc w:val="both"/>
      </w:pPr>
      <w:r w:rsidRPr="00D974AB">
        <w:t xml:space="preserve">Υπάρχουν πρώιμες ενδείξεις ότι  το </w:t>
      </w:r>
      <w:r w:rsidRPr="00D974AB">
        <w:rPr>
          <w:lang w:bidi="en-US"/>
        </w:rPr>
        <w:t>Rituximab</w:t>
      </w:r>
      <w:r w:rsidRPr="00D974AB">
        <w:t xml:space="preserve"> μπορεί να είναι καταλληλότερο για </w:t>
      </w:r>
      <w:r w:rsidRPr="00D974AB">
        <w:rPr>
          <w:lang w:bidi="en-US"/>
        </w:rPr>
        <w:t>RF</w:t>
      </w:r>
      <w:r w:rsidRPr="00D974AB">
        <w:t xml:space="preserve"> οροθετικούς ασθενείς, συγκριτικά με τους  οροαρνητικούς.</w:t>
      </w:r>
    </w:p>
    <w:p w:rsidR="00D974AB" w:rsidRPr="00D974AB" w:rsidRDefault="00D974AB" w:rsidP="00A067A2">
      <w:pPr>
        <w:jc w:val="both"/>
      </w:pPr>
    </w:p>
    <w:p w:rsidR="00D974AB" w:rsidRPr="00D974AB" w:rsidRDefault="00D974AB" w:rsidP="00A067A2">
      <w:pPr>
        <w:jc w:val="both"/>
      </w:pPr>
      <w:r w:rsidRPr="00D974AB">
        <w:rPr>
          <w:b/>
          <w:i/>
        </w:rPr>
        <w:t xml:space="preserve">Αναστολείς της </w:t>
      </w:r>
      <w:r w:rsidRPr="00D974AB">
        <w:rPr>
          <w:b/>
          <w:i/>
          <w:lang w:bidi="en-US"/>
        </w:rPr>
        <w:t>IL</w:t>
      </w:r>
      <w:r w:rsidRPr="00D974AB">
        <w:rPr>
          <w:b/>
          <w:i/>
        </w:rPr>
        <w:t>-1 (</w:t>
      </w:r>
      <w:r w:rsidRPr="00D974AB">
        <w:rPr>
          <w:b/>
          <w:i/>
          <w:lang w:bidi="en-US"/>
        </w:rPr>
        <w:t>IL</w:t>
      </w:r>
      <w:r w:rsidRPr="00D974AB">
        <w:rPr>
          <w:b/>
          <w:i/>
        </w:rPr>
        <w:t>-1</w:t>
      </w:r>
      <w:r w:rsidRPr="00D974AB">
        <w:rPr>
          <w:b/>
          <w:i/>
          <w:lang w:bidi="en-US"/>
        </w:rPr>
        <w:t>i</w:t>
      </w:r>
      <w:r w:rsidRPr="00D974AB">
        <w:rPr>
          <w:b/>
          <w:i/>
        </w:rPr>
        <w:t xml:space="preserve"> </w:t>
      </w:r>
      <w:r w:rsidRPr="00D974AB">
        <w:rPr>
          <w:b/>
          <w:i/>
          <w:lang w:bidi="en-US"/>
        </w:rPr>
        <w:t>Anakinra</w:t>
      </w:r>
      <w:r w:rsidRPr="00D974AB">
        <w:rPr>
          <w:b/>
          <w:i/>
        </w:rPr>
        <w:t>/</w:t>
      </w:r>
      <w:r w:rsidRPr="00D974AB">
        <w:rPr>
          <w:b/>
          <w:i/>
          <w:lang w:bidi="en-US"/>
        </w:rPr>
        <w:t>Canakinumab</w:t>
      </w:r>
      <w:r w:rsidRPr="00D974AB">
        <w:rPr>
          <w:b/>
          <w:i/>
        </w:rPr>
        <w:t>) :</w:t>
      </w:r>
      <w:r w:rsidRPr="00D974AB">
        <w:t xml:space="preserve"> Δε συστήν</w:t>
      </w:r>
      <w:r w:rsidRPr="00D974AB">
        <w:rPr>
          <w:lang w:bidi="en-US"/>
        </w:rPr>
        <w:t>o</w:t>
      </w:r>
      <w:r w:rsidRPr="00D974AB">
        <w:t>νται για αυτή την ομάδα των ασθενών</w:t>
      </w:r>
    </w:p>
    <w:p w:rsidR="00D974AB" w:rsidRPr="00D974AB" w:rsidRDefault="00D974AB" w:rsidP="00A067A2">
      <w:pPr>
        <w:jc w:val="both"/>
        <w:rPr>
          <w:b/>
        </w:rPr>
      </w:pPr>
    </w:p>
    <w:p w:rsidR="00D974AB" w:rsidRPr="00D974AB" w:rsidRDefault="00D974AB" w:rsidP="00A067A2">
      <w:pPr>
        <w:jc w:val="both"/>
        <w:rPr>
          <w:i/>
        </w:rPr>
      </w:pPr>
      <w:r w:rsidRPr="00D974AB">
        <w:rPr>
          <w:b/>
          <w:i/>
        </w:rPr>
        <w:t>3</w:t>
      </w:r>
      <w:r w:rsidRPr="00D974AB">
        <w:rPr>
          <w:b/>
          <w:i/>
          <w:vertAlign w:val="superscript"/>
        </w:rPr>
        <w:t>Η</w:t>
      </w:r>
      <w:r w:rsidRPr="00D974AB">
        <w:rPr>
          <w:b/>
          <w:i/>
        </w:rPr>
        <w:t xml:space="preserve"> ΘΕΡΑΠΕΥΤΙΚΗ ΟΜΑΔΑ:ΑΣΘΕΝΕΙΣ ΜΕ  ΕΝΕΡΓΟ ΑΡΘΡΙΤΙΔΑ ΤΩΝ ΙΕΡΟΛΑΓΟΝΙΩΝ</w:t>
      </w:r>
    </w:p>
    <w:p w:rsidR="00D974AB" w:rsidRPr="009062FD" w:rsidRDefault="00D974AB" w:rsidP="00A067A2">
      <w:pPr>
        <w:jc w:val="both"/>
      </w:pPr>
      <w:r w:rsidRPr="009062FD">
        <w:t xml:space="preserve">Εντάσσονται ασθενείς με κλινικές και απεικονιστικές ενδείξεις ενεργού ιερολαγονίτιδας, όπως είναι συνήθως  οι  ασθενείς με αρθρίτιδα που σχετίζεται με ενθεσίτιδα και  με ψωριασική αρθρίτιδα, μπορεί όμως να εντάσσονται και ασθενείς με οποιαδήποτε άλλη μορφή της  νόσου και ενεργό  ιερολαγονίτιδα. </w:t>
      </w:r>
      <w:r w:rsidR="00D83D50" w:rsidRPr="009062FD">
        <w:rPr>
          <w:vertAlign w:val="superscript"/>
        </w:rPr>
        <w:t>12</w:t>
      </w:r>
    </w:p>
    <w:p w:rsidR="00D974AB" w:rsidRPr="009062FD" w:rsidRDefault="00D974AB" w:rsidP="00A067A2">
      <w:pPr>
        <w:jc w:val="both"/>
      </w:pPr>
      <w:r w:rsidRPr="009062FD">
        <w:t>Σχηματικά, η όλη στρατηγική της θεραπείας φαίνεται στον αλγόριθμο/</w:t>
      </w:r>
      <w:r w:rsidR="00F90BA4" w:rsidRPr="009062FD">
        <w:t>σ</w:t>
      </w:r>
      <w:r w:rsidRPr="009062FD">
        <w:t>χήμα 1.</w:t>
      </w:r>
    </w:p>
    <w:p w:rsidR="00D974AB" w:rsidRPr="00D974AB" w:rsidRDefault="00D974AB" w:rsidP="00A067A2">
      <w:pPr>
        <w:jc w:val="both"/>
        <w:rPr>
          <w:b/>
        </w:rPr>
      </w:pPr>
    </w:p>
    <w:p w:rsidR="00D974AB" w:rsidRPr="00D974AB" w:rsidRDefault="00D974AB" w:rsidP="00A067A2">
      <w:pPr>
        <w:jc w:val="both"/>
        <w:rPr>
          <w:b/>
        </w:rPr>
      </w:pPr>
      <w:r w:rsidRPr="00D974AB">
        <w:rPr>
          <w:b/>
        </w:rPr>
        <w:t xml:space="preserve">Θεραπεία </w:t>
      </w:r>
    </w:p>
    <w:p w:rsidR="00D974AB" w:rsidRPr="009062FD" w:rsidRDefault="00D974AB" w:rsidP="00A067A2">
      <w:pPr>
        <w:jc w:val="both"/>
      </w:pPr>
      <w:r w:rsidRPr="009062FD">
        <w:t>Η θεραπεία στηρίζεται κυρίως στην αντίστοιχη δημοσιευμένη εμπειρία για ενήλικες ασθενείς  με σποδυλοαρθρίτιδα, λόγω έλλειψης τυχαιοποιημένων μελετών στα παιδιά αυτής της ομάδας.</w:t>
      </w:r>
      <w:r w:rsidR="00D83D50" w:rsidRPr="009062FD">
        <w:rPr>
          <w:vertAlign w:val="superscript"/>
        </w:rPr>
        <w:t>12</w:t>
      </w:r>
      <w:r w:rsidRPr="009062FD">
        <w:rPr>
          <w:vertAlign w:val="superscript"/>
        </w:rPr>
        <w:t>,3</w:t>
      </w:r>
      <w:r w:rsidR="00D83D50" w:rsidRPr="009062FD">
        <w:rPr>
          <w:vertAlign w:val="superscript"/>
        </w:rPr>
        <w:t>1</w:t>
      </w:r>
      <w:r w:rsidRPr="009062FD">
        <w:t xml:space="preserve">  Τα περισσότερα κέντρα χρησιμοποιούν τα ΜΣΑΦ, τις ενδοαρθρικές εγχύσεις κορτικοστεροειδών, και τη μεθοτρεξάτη ή σουλφασαλαζίνη για  μικρό διάστημα. Η επιτροπή του </w:t>
      </w:r>
      <w:r w:rsidRPr="009062FD">
        <w:rPr>
          <w:lang w:bidi="en-US"/>
        </w:rPr>
        <w:t>ACR</w:t>
      </w:r>
      <w:r w:rsidRPr="009062FD">
        <w:t xml:space="preserve"> αξιολόγησε μόνο τη θέση των βιολογικών παραγόντων στην ομάδα αυτή.</w:t>
      </w:r>
      <w:r w:rsidR="00D83D50" w:rsidRPr="009062FD">
        <w:rPr>
          <w:vertAlign w:val="superscript"/>
        </w:rPr>
        <w:t>12</w:t>
      </w:r>
    </w:p>
    <w:p w:rsidR="00D974AB" w:rsidRPr="009062FD" w:rsidRDefault="00D974AB" w:rsidP="00A067A2">
      <w:pPr>
        <w:jc w:val="both"/>
        <w:rPr>
          <w:i/>
        </w:rPr>
      </w:pPr>
    </w:p>
    <w:p w:rsidR="00D974AB" w:rsidRPr="009062FD" w:rsidRDefault="00D974AB" w:rsidP="00A067A2">
      <w:pPr>
        <w:jc w:val="both"/>
      </w:pPr>
      <w:r w:rsidRPr="009062FD">
        <w:rPr>
          <w:b/>
          <w:i/>
        </w:rPr>
        <w:t>ΜΣΑΦ:</w:t>
      </w:r>
      <w:r w:rsidRPr="009062FD">
        <w:rPr>
          <w:b/>
        </w:rPr>
        <w:t xml:space="preserve"> </w:t>
      </w:r>
      <w:r w:rsidRPr="009062FD">
        <w:t>Χρησιμοποιούνται για 4-8 εβδομάδες.</w:t>
      </w:r>
    </w:p>
    <w:p w:rsidR="00D974AB" w:rsidRPr="009062FD" w:rsidRDefault="00D974AB" w:rsidP="00A067A2">
      <w:pPr>
        <w:jc w:val="both"/>
        <w:rPr>
          <w:b/>
        </w:rPr>
      </w:pPr>
    </w:p>
    <w:p w:rsidR="00D974AB" w:rsidRPr="009062FD" w:rsidRDefault="00D974AB" w:rsidP="00A067A2">
      <w:pPr>
        <w:jc w:val="both"/>
      </w:pPr>
      <w:r w:rsidRPr="009062FD">
        <w:rPr>
          <w:b/>
          <w:i/>
        </w:rPr>
        <w:t>Ενδαρθρικές εγχύσεις κορτικοστεροειδών</w:t>
      </w:r>
      <w:r w:rsidRPr="009062FD">
        <w:rPr>
          <w:b/>
        </w:rPr>
        <w:t xml:space="preserve">: </w:t>
      </w:r>
      <w:r w:rsidRPr="009062FD">
        <w:t>κατά περίπτωση</w:t>
      </w:r>
    </w:p>
    <w:p w:rsidR="00D974AB" w:rsidRPr="009062FD" w:rsidRDefault="00D974AB" w:rsidP="00A067A2">
      <w:pPr>
        <w:jc w:val="both"/>
        <w:rPr>
          <w:b/>
        </w:rPr>
      </w:pPr>
    </w:p>
    <w:p w:rsidR="00D974AB" w:rsidRPr="00D974AB" w:rsidRDefault="00D974AB" w:rsidP="00A067A2">
      <w:pPr>
        <w:jc w:val="both"/>
        <w:rPr>
          <w:b/>
          <w:i/>
        </w:rPr>
      </w:pPr>
      <w:r w:rsidRPr="00D974AB">
        <w:rPr>
          <w:b/>
          <w:i/>
        </w:rPr>
        <w:t xml:space="preserve">Συνθετικά </w:t>
      </w:r>
      <w:r w:rsidRPr="00D974AB">
        <w:rPr>
          <w:b/>
          <w:i/>
          <w:lang w:bidi="en-US"/>
        </w:rPr>
        <w:t>DMARDs</w:t>
      </w:r>
    </w:p>
    <w:p w:rsidR="00D974AB" w:rsidRPr="009062FD" w:rsidRDefault="00D974AB" w:rsidP="00A067A2">
      <w:pPr>
        <w:jc w:val="both"/>
      </w:pPr>
      <w:r w:rsidRPr="009062FD">
        <w:t>Μεθοτρεξάτη για διάστημα μέχρι 3μήνες και επανεκτίμηση.</w:t>
      </w:r>
    </w:p>
    <w:p w:rsidR="00D974AB" w:rsidRPr="009062FD" w:rsidRDefault="00D974AB" w:rsidP="00A067A2">
      <w:pPr>
        <w:jc w:val="both"/>
      </w:pPr>
      <w:r w:rsidRPr="009062FD">
        <w:t xml:space="preserve">Σουλφσαλαζίνη για διάστημα μέχρι 3μήνες και επανεκτίμηση. Αποτελεί και αυτή μία αποδεκτή επιλογή μετά από τα ΜΣΑΦ και /ή τις ενδοαρθρικές εγχύσεις  κορτικοστεροειδών. </w:t>
      </w:r>
    </w:p>
    <w:p w:rsidR="00D974AB" w:rsidRPr="009062FD" w:rsidRDefault="00D974AB" w:rsidP="00A067A2">
      <w:pPr>
        <w:jc w:val="both"/>
      </w:pPr>
    </w:p>
    <w:p w:rsidR="00D974AB" w:rsidRPr="009062FD" w:rsidRDefault="00D974AB" w:rsidP="00A067A2">
      <w:pPr>
        <w:jc w:val="both"/>
        <w:rPr>
          <w:b/>
          <w:i/>
        </w:rPr>
      </w:pPr>
      <w:r w:rsidRPr="009062FD">
        <w:rPr>
          <w:b/>
          <w:i/>
        </w:rPr>
        <w:t>Βιολογικοί παράγοντες</w:t>
      </w:r>
      <w:r w:rsidR="00D83D50" w:rsidRPr="009062FD">
        <w:rPr>
          <w:b/>
          <w:i/>
          <w:vertAlign w:val="superscript"/>
        </w:rPr>
        <w:t xml:space="preserve"> 6-8,12</w:t>
      </w:r>
    </w:p>
    <w:p w:rsidR="00D974AB" w:rsidRPr="009062FD" w:rsidRDefault="00D974AB" w:rsidP="00A067A2">
      <w:pPr>
        <w:jc w:val="both"/>
        <w:rPr>
          <w:i/>
        </w:rPr>
      </w:pPr>
      <w:r w:rsidRPr="009062FD">
        <w:rPr>
          <w:i/>
        </w:rPr>
        <w:t xml:space="preserve">TNF-αi  συστήνονται: </w:t>
      </w:r>
    </w:p>
    <w:p w:rsidR="00D974AB" w:rsidRPr="00D974AB" w:rsidRDefault="00D974AB" w:rsidP="00A067A2">
      <w:pPr>
        <w:numPr>
          <w:ilvl w:val="0"/>
          <w:numId w:val="17"/>
        </w:numPr>
        <w:jc w:val="both"/>
      </w:pPr>
      <w:r w:rsidRPr="00D974AB">
        <w:t>Σε ασθενείς με ενεργό ιερολαγονίτιδα που δεν ανταποκρίθηκαν σε ΜΣΑΦ, έχουν υψηλή  δραστηριότητα της  νόσου και  παρουσία δυσμενών προγνωστικών παραγόντων.</w:t>
      </w:r>
    </w:p>
    <w:p w:rsidR="00D974AB" w:rsidRPr="00D974AB" w:rsidRDefault="00D974AB" w:rsidP="00A067A2">
      <w:pPr>
        <w:numPr>
          <w:ilvl w:val="0"/>
          <w:numId w:val="17"/>
        </w:numPr>
        <w:jc w:val="both"/>
      </w:pPr>
      <w:r w:rsidRPr="00D974AB">
        <w:t>Σε ασθενείς  που δεν έχουν απαντήσει σε 3μηνη χορήγηση μεθοτρεξάτης και έχουν υψηλή δραστηριότητα της  νόσου, ανεξάρτητα από την παρουσία ή όχι δυσμενών προγνωστικών παραγόντων.</w:t>
      </w:r>
    </w:p>
    <w:p w:rsidR="00D974AB" w:rsidRPr="00D974AB" w:rsidRDefault="00D974AB" w:rsidP="00A067A2">
      <w:pPr>
        <w:numPr>
          <w:ilvl w:val="0"/>
          <w:numId w:val="17"/>
        </w:numPr>
        <w:jc w:val="both"/>
      </w:pPr>
      <w:r w:rsidRPr="00D974AB">
        <w:t>Σε ασθενείς  που δεν έχουν απαντήσει σε 6μηνη χορήγηση μεθοτρεξάτης, έχουν μέτρια δραστηριότητα της  νόσου και απουσία δυσμενών προγνωστικών παραγόντων.</w:t>
      </w:r>
    </w:p>
    <w:p w:rsidR="00D974AB" w:rsidRPr="00D974AB" w:rsidRDefault="00D974AB" w:rsidP="00A067A2">
      <w:pPr>
        <w:numPr>
          <w:ilvl w:val="0"/>
          <w:numId w:val="17"/>
        </w:numPr>
        <w:jc w:val="both"/>
      </w:pPr>
      <w:r w:rsidRPr="00D974AB">
        <w:t>Σε ασθενείς  που δεν έχουν απαντήσει σε 3μηνη χορήγηση σουλφασαλαζίνης, έχουν μέτρια ή υψηλή δραστηριότητα της  νόσου και παρουσία δυσμενών προγνωστικών παραγόντων.</w:t>
      </w:r>
    </w:p>
    <w:p w:rsidR="00D974AB" w:rsidRPr="00D974AB" w:rsidRDefault="00D974AB" w:rsidP="00A067A2">
      <w:pPr>
        <w:numPr>
          <w:ilvl w:val="0"/>
          <w:numId w:val="17"/>
        </w:numPr>
        <w:jc w:val="both"/>
      </w:pPr>
      <w:r w:rsidRPr="00D974AB">
        <w:t>Σε ασθενείς που δεν έχουν πλέον ενεργό ιερολαγονίτιδα, αλλά έχουν περιφερική αρθρίτιδα (που προβάλλει είτε ως ολιγοαρθρίτιδα ή ως πολυαρθρίτιδα), μετά από ανεπαρκή απάντηση σε 3μηνη ή 6μηνη θεραπεία με μεθοτρεξάτη, με ιστορικό προηγηθείσας θεραπείας με  ΜΣΑΦ  επί 1-2 μήνες  και συχνές  ενδοαρθρικές  εγχύσεις  κορτικοστεροειδών.</w:t>
      </w:r>
    </w:p>
    <w:p w:rsidR="00D974AB" w:rsidRPr="00D974AB" w:rsidRDefault="00D974AB" w:rsidP="00A067A2">
      <w:pPr>
        <w:jc w:val="both"/>
      </w:pPr>
    </w:p>
    <w:p w:rsidR="00D974AB" w:rsidRPr="00D974AB" w:rsidRDefault="00D974AB" w:rsidP="00A067A2">
      <w:pPr>
        <w:jc w:val="both"/>
        <w:rPr>
          <w:b/>
          <w:i/>
        </w:rPr>
      </w:pPr>
      <w:r w:rsidRPr="00D974AB">
        <w:rPr>
          <w:b/>
          <w:i/>
        </w:rPr>
        <w:t>4</w:t>
      </w:r>
      <w:r w:rsidRPr="00D974AB">
        <w:rPr>
          <w:b/>
          <w:i/>
          <w:vertAlign w:val="superscript"/>
        </w:rPr>
        <w:t>Η</w:t>
      </w:r>
      <w:r w:rsidRPr="00D974AB">
        <w:rPr>
          <w:b/>
          <w:i/>
        </w:rPr>
        <w:t xml:space="preserve"> ΘΕΡΑΠΕΥΤΙΚΗ ΟΜΑΔΑ: ΑΣΘΕΝΕΙΣ ΜΕ ΣΥΣΤΗΜΑΤΙΚΗ NIA  ΠΟΥ ΕΧΟΥΝ ΕΝΕΡΓΕΙΣ ΣΥΣΤΗΜΑΤΙΚΕΣ ΕΚΔΗΛΩΣΕΙΣ ΚΑΙ ΔΙΑΦΟΡΟΥ ΒΑΘΜΟ</w:t>
      </w:r>
      <w:r w:rsidR="007A41F9">
        <w:rPr>
          <w:b/>
          <w:i/>
        </w:rPr>
        <w:t>Υ</w:t>
      </w:r>
      <w:r w:rsidRPr="00D974AB">
        <w:rPr>
          <w:b/>
          <w:i/>
        </w:rPr>
        <w:t xml:space="preserve"> ΕΝΕΡΓΟ ΑΡΘΡΙΤΙΔΑ (ΑΡΙΘΜΟΣ ΠΡΟΣΒΕΒΛΗΜΕΝΩΝ ΑΡΘΡΩΣΕΩΝ: Ο, 1-4, &gt;4) </w:t>
      </w:r>
    </w:p>
    <w:p w:rsidR="00D974AB" w:rsidRPr="00D974AB" w:rsidRDefault="00D974AB" w:rsidP="00A067A2">
      <w:pPr>
        <w:jc w:val="both"/>
        <w:rPr>
          <w:b/>
          <w:i/>
        </w:rPr>
      </w:pPr>
    </w:p>
    <w:p w:rsidR="00D974AB" w:rsidRPr="009062FD" w:rsidRDefault="00D974AB" w:rsidP="00A067A2">
      <w:pPr>
        <w:jc w:val="both"/>
      </w:pPr>
      <w:r w:rsidRPr="009062FD">
        <w:t xml:space="preserve">Εντάσσονται όλοι οι ασθενείς που πληρούν τα κριτήρια ILAR για τη συστηματική μορφή της NIA (ΣΝΙΑ), που έχουν συστηματικές εκδηλώσεις  αλλά απουσία ενεργού αρθρίτιδας (π.χ. </w:t>
      </w:r>
      <w:r w:rsidRPr="009062FD">
        <w:rPr>
          <w:i/>
        </w:rPr>
        <w:t xml:space="preserve">ασθενείς  που η αρθρίτιδά τους υφέθηκε χωρίς θεραπεία ή ελέγχθηκε με μη στεροειδή αντιφλεγμονώδη φάρμακα αλλά ο πυρετός επιμένει) </w:t>
      </w:r>
      <w:r w:rsidRPr="009062FD">
        <w:t>ή  που έχουν συστηματικές εκδηλώσεις  με διαφόρου βαθμού ενεργό αρθρίτιδα</w:t>
      </w:r>
      <w:r w:rsidR="00276D0E" w:rsidRPr="009062FD">
        <w:rPr>
          <w:i/>
          <w:vertAlign w:val="superscript"/>
        </w:rPr>
        <w:t xml:space="preserve"> 11,12</w:t>
      </w:r>
      <w:r w:rsidRPr="009062FD">
        <w:t xml:space="preserve">. </w:t>
      </w:r>
    </w:p>
    <w:p w:rsidR="00D974AB" w:rsidRPr="00D974AB" w:rsidRDefault="00D974AB" w:rsidP="00A067A2">
      <w:pPr>
        <w:jc w:val="both"/>
      </w:pPr>
      <w:r w:rsidRPr="009062FD">
        <w:t xml:space="preserve">Τα θεραπευτικά πρωτόκολλα για τους ασθενείς της ομάδας αυτής συστήνονται με βάση  </w:t>
      </w:r>
      <w:r w:rsidRPr="009062FD">
        <w:rPr>
          <w:b/>
          <w:i/>
        </w:rPr>
        <w:t>την παρουσία συστηματικών εκδηλώσεων</w:t>
      </w:r>
      <w:r w:rsidRPr="009062FD">
        <w:t xml:space="preserve">, </w:t>
      </w:r>
      <w:r w:rsidRPr="009062FD">
        <w:rPr>
          <w:b/>
          <w:i/>
        </w:rPr>
        <w:t>το επίπεδο δραστηριότητας της νόσου</w:t>
      </w:r>
      <w:r w:rsidRPr="009062FD">
        <w:t xml:space="preserve"> </w:t>
      </w:r>
      <w:r w:rsidRPr="009062FD">
        <w:rPr>
          <w:b/>
          <w:i/>
        </w:rPr>
        <w:t xml:space="preserve">με την MDVAS global &lt;5 και ≥5 </w:t>
      </w:r>
      <w:r w:rsidRPr="009062FD">
        <w:t xml:space="preserve">(όπου 0=απουσία δραστηριότητας και 10= μέγιστη δραστηριότητα) </w:t>
      </w:r>
      <w:r w:rsidRPr="009062FD">
        <w:rPr>
          <w:b/>
        </w:rPr>
        <w:t xml:space="preserve">και </w:t>
      </w:r>
      <w:r w:rsidRPr="009062FD">
        <w:rPr>
          <w:b/>
          <w:i/>
        </w:rPr>
        <w:t>τον αριθμό των προσβεβλημένων αρθρώσεων  (0, 1-4, &gt;4)</w:t>
      </w:r>
      <w:r w:rsidRPr="009062FD">
        <w:rPr>
          <w:i/>
        </w:rPr>
        <w:t>.</w:t>
      </w:r>
      <w:r w:rsidRPr="009062FD">
        <w:t xml:space="preserve"> Σε κάθε περίπτωση, μπορεί να προτείνονται περισσότερα από ένα θεραπευτικά μονοπάτια, οπότε, εναπόκειται  στην κρίση του ιατρού να επιλέξει το κατάλληλο για την περίπτωση μονοπάτι, σύμφωνα με τα χαρακτηριστικά του ασθενούς και τις προτιμήσεις αυτού  και της οικογένειας. Στο θεραπευτικό σχήμα μπορεί να προστεθούν σε</w:t>
      </w:r>
      <w:r w:rsidRPr="00D974AB">
        <w:t xml:space="preserve"> οποιοδήποτε στάδιο κορτικοστεροειδή (συστηματικά ή ενδοαρθρικά), σύμφωνα με την κρίση του ιατρού. </w:t>
      </w:r>
    </w:p>
    <w:p w:rsidR="00D974AB" w:rsidRPr="00D974AB" w:rsidRDefault="00D974AB" w:rsidP="00A067A2">
      <w:pPr>
        <w:jc w:val="both"/>
      </w:pPr>
      <w:r w:rsidRPr="00D974AB">
        <w:t xml:space="preserve">Όλα τα DMARDs (συνθετικά και βιολογικά) που αναφέρονται στις θεραπευτικές επιλογές/μονοπάτια </w:t>
      </w:r>
      <w:r w:rsidRPr="00D974AB">
        <w:rPr>
          <w:i/>
        </w:rPr>
        <w:t xml:space="preserve">αναγράφονται κατά αλφαβητική σειρά. </w:t>
      </w:r>
      <w:r w:rsidRPr="00D974AB">
        <w:t xml:space="preserve">Όταν υπάρχει </w:t>
      </w:r>
      <w:r w:rsidR="00FB7885">
        <w:t xml:space="preserve">κάθετος </w:t>
      </w:r>
      <w:r w:rsidRPr="00D974AB">
        <w:t>(/) μεταξύ 2 DMARDs σημαίνει ότι αρχίζουμε με το πρώτο είτε λόγω του ότι έχει αποδειχτεί ως φάρμακο 1</w:t>
      </w:r>
      <w:r w:rsidRPr="00D974AB">
        <w:rPr>
          <w:vertAlign w:val="superscript"/>
        </w:rPr>
        <w:t xml:space="preserve">ης </w:t>
      </w:r>
      <w:r w:rsidRPr="00D974AB">
        <w:t xml:space="preserve">εκλογής (π.χ. μεθοτρεξάτη/λεφλουνομίδη) είτε λόγω κόστους (π.χ. Anakinra/Canakinumab ) ή λόγω άλλης αιτίας/αντένδειξης. </w:t>
      </w:r>
    </w:p>
    <w:p w:rsidR="00D974AB" w:rsidRPr="00D974AB" w:rsidRDefault="00D974AB" w:rsidP="00A067A2">
      <w:pPr>
        <w:jc w:val="both"/>
      </w:pPr>
      <w:r w:rsidRPr="00D974AB">
        <w:t xml:space="preserve">Τα στάδια στην πρόοδο της θεραπείας μπορεί να είναι προσθήκη ή διαδοχική χορήγηση φαρμάκων, </w:t>
      </w:r>
      <w:r w:rsidRPr="00D974AB">
        <w:rPr>
          <w:i/>
        </w:rPr>
        <w:t>εκτός από τους βιολογικούς παράγοντες που η χορήγηση είναι πάντα διαδοχική</w:t>
      </w:r>
      <w:r w:rsidRPr="00D974AB">
        <w:t xml:space="preserve">. </w:t>
      </w:r>
    </w:p>
    <w:p w:rsidR="00D974AB" w:rsidRPr="00D974AB" w:rsidRDefault="00D974AB" w:rsidP="00A067A2">
      <w:pPr>
        <w:jc w:val="both"/>
      </w:pPr>
      <w:r w:rsidRPr="00D974AB">
        <w:t xml:space="preserve">Εάν απαντούν στη θεραπεία οι συστηματικές εκδηλώσεις αλλά όχι και η αρθρίτιδα, τότε η επόμενη θεραπευτική απόφαση θα πρέπει να βασίζεται στις συστάσεις που αφορούν  τη </w:t>
      </w:r>
      <w:r w:rsidR="00FB7885">
        <w:t>«</w:t>
      </w:r>
      <w:r w:rsidRPr="00D974AB">
        <w:t>ΣNIA με ενεργό αρθρίτιδα αλλά χωρίς συστηματικές εκδηλώσεις</w:t>
      </w:r>
      <w:r w:rsidR="00FB7885">
        <w:t>»</w:t>
      </w:r>
      <w:r w:rsidRPr="00D974AB">
        <w:t xml:space="preserve">.  </w:t>
      </w:r>
    </w:p>
    <w:p w:rsidR="00D974AB" w:rsidRPr="00D974AB" w:rsidRDefault="00D974AB" w:rsidP="00A067A2">
      <w:pPr>
        <w:jc w:val="both"/>
        <w:rPr>
          <w:b/>
        </w:rPr>
      </w:pPr>
    </w:p>
    <w:p w:rsidR="00D974AB" w:rsidRPr="00D974AB" w:rsidRDefault="00D974AB" w:rsidP="00A067A2">
      <w:pPr>
        <w:jc w:val="both"/>
        <w:rPr>
          <w:b/>
        </w:rPr>
      </w:pPr>
      <w:r w:rsidRPr="00D974AB">
        <w:rPr>
          <w:b/>
        </w:rPr>
        <w:t>Θεραπεία</w:t>
      </w:r>
    </w:p>
    <w:p w:rsidR="00D974AB" w:rsidRPr="00D974AB" w:rsidRDefault="00D974AB" w:rsidP="00A067A2">
      <w:pPr>
        <w:jc w:val="both"/>
        <w:rPr>
          <w:b/>
          <w:i/>
        </w:rPr>
      </w:pPr>
      <w:r w:rsidRPr="00D974AB">
        <w:rPr>
          <w:b/>
        </w:rPr>
        <w:t xml:space="preserve">1. </w:t>
      </w:r>
      <w:r w:rsidRPr="00D974AB">
        <w:rPr>
          <w:b/>
          <w:i/>
        </w:rPr>
        <w:t>MDVAS global &lt;5 και απουσία ενεργού αρθρίτιδας</w:t>
      </w:r>
    </w:p>
    <w:p w:rsidR="00D974AB" w:rsidRPr="00D974AB" w:rsidRDefault="00D974AB" w:rsidP="00A067A2">
      <w:pPr>
        <w:jc w:val="both"/>
      </w:pPr>
      <w:r w:rsidRPr="00D974AB">
        <w:t>Χορηγούνται ΜΣΑΦ για 1 μήνα. Εάν δεν απαντήσει ο ασθενής, προτείνονται 3 επιλογές/μονοπάτια:</w:t>
      </w:r>
    </w:p>
    <w:p w:rsidR="00D974AB" w:rsidRPr="00D974AB" w:rsidRDefault="00D974AB" w:rsidP="00A067A2">
      <w:pPr>
        <w:jc w:val="both"/>
      </w:pPr>
      <w:r w:rsidRPr="00D974AB">
        <w:rPr>
          <w:b/>
        </w:rPr>
        <w:t>α.</w:t>
      </w:r>
      <w:r w:rsidRPr="00D974AB">
        <w:t xml:space="preserve"> Παραμένουν MDVAS global &lt;5 και απουσία ενεργού αρθρίτιδας: Χορηγούνται αναστολείς της IL-1 (IL-1i Anakinra/Canakinumab) για 1μήνα. Εάν δεν απαντήσει προτείνονται 2 επιλογές /μονοπάτια: </w:t>
      </w:r>
    </w:p>
    <w:p w:rsidR="00D974AB" w:rsidRPr="00D974AB" w:rsidRDefault="00D974AB" w:rsidP="00A067A2">
      <w:pPr>
        <w:jc w:val="both"/>
      </w:pPr>
      <w:r w:rsidRPr="00D974AB">
        <w:rPr>
          <w:b/>
        </w:rPr>
        <w:t>α1.</w:t>
      </w:r>
      <w:r w:rsidRPr="00D974AB">
        <w:t xml:space="preserve"> Εάν υπάρχει ενεργός αρθρίτιδα σε 0-4 αρθρώσεις, ανεξάρτητα από την MDVAS global, χ</w:t>
      </w:r>
      <w:r w:rsidRPr="00D974AB">
        <w:rPr>
          <w:lang w:bidi="en-US"/>
        </w:rPr>
        <w:t>o</w:t>
      </w:r>
      <w:r w:rsidRPr="00D974AB">
        <w:t>ρηγούνται αναστολείς της IL-6 (IL-6i Τοcilizumab</w:t>
      </w:r>
      <w:r w:rsidR="009062FD">
        <w:t>), ή Μεθοτρεξάτη / Λεφλουνομίδη</w:t>
      </w:r>
      <w:r w:rsidRPr="00D974AB">
        <w:t xml:space="preserve">. </w:t>
      </w:r>
    </w:p>
    <w:p w:rsidR="00D974AB" w:rsidRPr="00D974AB" w:rsidRDefault="00D974AB" w:rsidP="00A067A2">
      <w:pPr>
        <w:jc w:val="both"/>
      </w:pPr>
      <w:r w:rsidRPr="00D974AB">
        <w:rPr>
          <w:b/>
        </w:rPr>
        <w:t>α2.</w:t>
      </w:r>
      <w:r w:rsidRPr="00D974AB">
        <w:t xml:space="preserve"> Εάν υπάρχει ενεργός αρθρίτιδα σε &gt;4 αρθρώσεις, ανεξάρτητα από την MDVAS global, χορηγούνται αναστολείς της IL-6  (IL-6i, Tocilizumab) ή Μεθοτρεξάτη / Λεφλουνομίδη ή TNF-ai (Adalimumab, Etanercept, Infliximab)</w:t>
      </w:r>
    </w:p>
    <w:p w:rsidR="00D974AB" w:rsidRPr="00D974AB" w:rsidRDefault="00D974AB" w:rsidP="00A067A2">
      <w:pPr>
        <w:jc w:val="both"/>
      </w:pPr>
      <w:r w:rsidRPr="00D974AB">
        <w:t xml:space="preserve"> </w:t>
      </w:r>
    </w:p>
    <w:p w:rsidR="00D974AB" w:rsidRPr="00D974AB" w:rsidRDefault="00D974AB" w:rsidP="00A067A2">
      <w:pPr>
        <w:jc w:val="both"/>
      </w:pPr>
      <w:r w:rsidRPr="00D974AB">
        <w:rPr>
          <w:b/>
        </w:rPr>
        <w:t>β.</w:t>
      </w:r>
      <w:r w:rsidRPr="00D974AB">
        <w:t xml:space="preserve"> Παραμένει η  MDVAS global &lt;5 και υπάρχει ενεργός αρθρίτιδα σε &gt;0 αρθρώσεις: Προτείνονται 2 επιλογές/μονοπάτια: </w:t>
      </w:r>
    </w:p>
    <w:p w:rsidR="00D974AB" w:rsidRPr="00D974AB" w:rsidRDefault="00D974AB" w:rsidP="00A067A2">
      <w:pPr>
        <w:jc w:val="both"/>
      </w:pPr>
      <w:r w:rsidRPr="00D974AB">
        <w:rPr>
          <w:b/>
        </w:rPr>
        <w:t>β1.</w:t>
      </w:r>
      <w:r w:rsidRPr="00D974AB">
        <w:t xml:space="preserve"> Χορηγούνται ΚΣ από το στόμα ή ενδοφλέβια για 2 εβδομάδες. Εάν δεν απαντήσει ο ασθενής προτείνονται 2 επιλογές/μονοπάτια: </w:t>
      </w:r>
    </w:p>
    <w:p w:rsidR="00D974AB" w:rsidRPr="00D974AB" w:rsidRDefault="00D974AB" w:rsidP="00A067A2">
      <w:pPr>
        <w:numPr>
          <w:ilvl w:val="0"/>
          <w:numId w:val="24"/>
        </w:numPr>
        <w:jc w:val="both"/>
      </w:pPr>
      <w:r w:rsidRPr="00D974AB">
        <w:t>MDVAS global ≥5  ανεξάρτητα από τον αριθμό των αρθρώσεων με ενεργό αρθρίτιδα ή MDVAS, &lt;5  με απουσία ενεργού αρθρίτιδας : Χορηγούνται IL-1i (Anakinra/ Canakinumab) ή IL-6i (Tocilizumab)</w:t>
      </w:r>
    </w:p>
    <w:p w:rsidR="00D974AB" w:rsidRPr="00D974AB" w:rsidRDefault="00D974AB" w:rsidP="00A067A2">
      <w:pPr>
        <w:numPr>
          <w:ilvl w:val="0"/>
          <w:numId w:val="24"/>
        </w:numPr>
        <w:jc w:val="both"/>
      </w:pPr>
      <w:r w:rsidRPr="00D974AB">
        <w:t>MDVAS global &lt;5  και  αριθμός αρθρώσεων με ενεργό αρθρίτιδα &gt;0 : Χορηγούνται IL-1i  (Anakinra/Canakinumab)  ή  IL-6i  (Τοcilizumab) ή Μεθοτρεξάτη/ Λεφλουνομίδη</w:t>
      </w:r>
    </w:p>
    <w:p w:rsidR="00D974AB" w:rsidRPr="00D974AB" w:rsidRDefault="00D974AB" w:rsidP="00A067A2">
      <w:pPr>
        <w:jc w:val="both"/>
      </w:pPr>
      <w:r w:rsidRPr="00D974AB">
        <w:rPr>
          <w:b/>
        </w:rPr>
        <w:t>β2.</w:t>
      </w:r>
      <w:r w:rsidRPr="00D974AB">
        <w:t xml:space="preserve"> Χορηγούνται IL-1i (Anakinra/ Canakinumab) για 1 μήνα. Εάν δεν απαντήσει ο ασθενής προτείνονται 2 επιλογές/μονοπάτια:</w:t>
      </w:r>
    </w:p>
    <w:p w:rsidR="00D974AB" w:rsidRPr="00D974AB" w:rsidRDefault="00D974AB" w:rsidP="00A067A2">
      <w:pPr>
        <w:numPr>
          <w:ilvl w:val="0"/>
          <w:numId w:val="25"/>
        </w:numPr>
        <w:jc w:val="both"/>
      </w:pPr>
      <w:r w:rsidRPr="00D974AB">
        <w:t>Αριθμός αρθρώσεων με ενεργό αρθρίτιδα 0-4, ανεξάρτητα από την MDVAS global : Χορηγούνται  IL-6i (Τοcilizumab) ή Μεθοτρεξάτη /Λεφλουνομίδη</w:t>
      </w:r>
    </w:p>
    <w:p w:rsidR="00D974AB" w:rsidRPr="00D974AB" w:rsidRDefault="00D974AB" w:rsidP="00A067A2">
      <w:pPr>
        <w:numPr>
          <w:ilvl w:val="0"/>
          <w:numId w:val="25"/>
        </w:numPr>
        <w:jc w:val="both"/>
      </w:pPr>
      <w:r w:rsidRPr="00D974AB">
        <w:t>Αριθμός αρθρώσεων με ενεργό αρθρίτιδα &gt;4, ανεξάρτητα από την MDVAS global:  Χορηγούνται IL-6i (Τοcilizumab) ή Μεθοτρεξάτη/Λεφλουνομίδη ή TNF-ai (Adalimumab, Etanercept, Infliximab)</w:t>
      </w:r>
    </w:p>
    <w:p w:rsidR="00D974AB" w:rsidRPr="00D974AB" w:rsidRDefault="00D974AB" w:rsidP="00A067A2">
      <w:pPr>
        <w:jc w:val="both"/>
      </w:pPr>
    </w:p>
    <w:p w:rsidR="00D974AB" w:rsidRPr="00D974AB" w:rsidRDefault="00D974AB" w:rsidP="00A067A2">
      <w:pPr>
        <w:jc w:val="both"/>
      </w:pPr>
      <w:r w:rsidRPr="00D974AB">
        <w:rPr>
          <w:b/>
        </w:rPr>
        <w:t>γ.</w:t>
      </w:r>
      <w:r w:rsidRPr="00D974AB">
        <w:t xml:space="preserve"> Εάν η MDVAS global ≥5 ανεξάρτητα από τον αριθμό αρθρώσεων με ενεργό αρθρίτιδα, προτείνονται 3 επιλογές/μονοπάτια:  </w:t>
      </w:r>
    </w:p>
    <w:p w:rsidR="00D974AB" w:rsidRPr="00D974AB" w:rsidRDefault="00D974AB" w:rsidP="00A067A2">
      <w:pPr>
        <w:jc w:val="both"/>
      </w:pPr>
      <w:r w:rsidRPr="00D974AB">
        <w:rPr>
          <w:b/>
        </w:rPr>
        <w:t>γ1.</w:t>
      </w:r>
      <w:r w:rsidRPr="00D974AB">
        <w:t xml:space="preserve"> Χορηγούνται ΚΣ από το στόμα ή ενδοφλέβια για 2 εβδομάδες. Εάν δεν απαντήσει ο ασθενής  προτείνονται 2 επιλογές/μονοπάτια: </w:t>
      </w:r>
    </w:p>
    <w:p w:rsidR="00D974AB" w:rsidRPr="00D974AB" w:rsidRDefault="00D974AB" w:rsidP="00A067A2">
      <w:pPr>
        <w:numPr>
          <w:ilvl w:val="0"/>
          <w:numId w:val="26"/>
        </w:numPr>
        <w:jc w:val="both"/>
      </w:pPr>
      <w:r w:rsidRPr="00D974AB">
        <w:t>MDVAS global ≥5  ανεξάρτητα από τον αριθμό αρθρώσεων με ενεργό αρθρίτιδα ή  MDVAS global &lt;5  με απουσία ενεργού αρθρίτιδας : Χορηγούνται IL-1i (Anakinra/ Canakinumab) ή IL-6i (Tocilizumab)</w:t>
      </w:r>
    </w:p>
    <w:p w:rsidR="00D974AB" w:rsidRPr="00D974AB" w:rsidRDefault="00D974AB" w:rsidP="00A067A2">
      <w:pPr>
        <w:numPr>
          <w:ilvl w:val="0"/>
          <w:numId w:val="26"/>
        </w:numPr>
        <w:jc w:val="both"/>
      </w:pPr>
      <w:r w:rsidRPr="00D974AB">
        <w:t>MDVAS global &lt;5  και  αριθμός  αρθρώσεων με ενεργό αρθρίτιδα &gt;0 : Χορηγούνται IL-1i  (Anakinra/Canakinumab) ή  IL-6i (Τοcilizumab) ή Μεθοτρεξάτη /Λεφλουνομίδη.</w:t>
      </w:r>
    </w:p>
    <w:p w:rsidR="00D974AB" w:rsidRPr="00D974AB" w:rsidRDefault="00D974AB" w:rsidP="00A067A2">
      <w:pPr>
        <w:jc w:val="both"/>
      </w:pPr>
      <w:r w:rsidRPr="00D974AB">
        <w:rPr>
          <w:b/>
        </w:rPr>
        <w:t>γ2.</w:t>
      </w:r>
      <w:r w:rsidRPr="00D974AB">
        <w:t xml:space="preserve"> Χορηγούνται IL-1i (Anakinra/ Canakinumab) για 1 μήνα. Εάν δεν απαντήσει ο ασθενής, προτείνονται 2 επιλογές/μονοπάτια:</w:t>
      </w:r>
    </w:p>
    <w:p w:rsidR="00D974AB" w:rsidRPr="00D974AB" w:rsidRDefault="00D974AB" w:rsidP="00A067A2">
      <w:pPr>
        <w:numPr>
          <w:ilvl w:val="0"/>
          <w:numId w:val="27"/>
        </w:numPr>
        <w:jc w:val="both"/>
      </w:pPr>
      <w:r w:rsidRPr="00D974AB">
        <w:t>Αριθμός αρθρώσεων με ενεργό αρθρίτιδα 0-4, ανεξάρτητα από την MDVAS global : Χορηγούνται IL-6i (Τοcilizumab) ή Μεθοτρεξάτη /Λεφλουνομίδη</w:t>
      </w:r>
    </w:p>
    <w:p w:rsidR="00D974AB" w:rsidRPr="00D974AB" w:rsidRDefault="00D974AB" w:rsidP="00A067A2">
      <w:pPr>
        <w:numPr>
          <w:ilvl w:val="0"/>
          <w:numId w:val="27"/>
        </w:numPr>
        <w:jc w:val="both"/>
      </w:pPr>
      <w:r w:rsidRPr="00D974AB">
        <w:t>Αριθμός αρθρώσεων με ενεργό αρθρίτιδα &gt;4, ανεξάρτητα από την MDVAS global:  Χορηγούνται IL-6i (Τοcilizumab) ή Μεθοτρεξάτη/Λεφλουνομίδη ή TNF-ai (Adalimumab, Etanercept, Infliximab)</w:t>
      </w:r>
    </w:p>
    <w:p w:rsidR="00D974AB" w:rsidRPr="00D974AB" w:rsidRDefault="00D974AB" w:rsidP="00A067A2">
      <w:pPr>
        <w:jc w:val="both"/>
      </w:pPr>
      <w:r w:rsidRPr="00D974AB">
        <w:rPr>
          <w:b/>
        </w:rPr>
        <w:t>γ3.</w:t>
      </w:r>
      <w:r w:rsidRPr="00D974AB">
        <w:t xml:space="preserve"> Χορηγούνται IL-1i (Anakinra/ Canakinumab)  ή IL-6i (Tocilizumab)για ένα μήνα. Εάν δεν απαντήσει ο ασθενής στον ένα παράγοντα χορηγείται ο άλλος. </w:t>
      </w:r>
    </w:p>
    <w:p w:rsidR="00D974AB" w:rsidRPr="00D974AB" w:rsidRDefault="00D974AB" w:rsidP="00A067A2">
      <w:pPr>
        <w:jc w:val="both"/>
      </w:pPr>
    </w:p>
    <w:p w:rsidR="00D974AB" w:rsidRPr="00D974AB" w:rsidRDefault="00D974AB" w:rsidP="00A067A2">
      <w:pPr>
        <w:jc w:val="both"/>
        <w:rPr>
          <w:b/>
          <w:i/>
        </w:rPr>
      </w:pPr>
      <w:r w:rsidRPr="00D974AB">
        <w:rPr>
          <w:b/>
        </w:rPr>
        <w:t xml:space="preserve">2. </w:t>
      </w:r>
      <w:r w:rsidRPr="00D974AB">
        <w:rPr>
          <w:b/>
          <w:i/>
        </w:rPr>
        <w:t>MDVAS global &lt;5 και 1-4 αρθρώσεις με ενεργό αρθρίτιδα</w:t>
      </w:r>
    </w:p>
    <w:p w:rsidR="00D974AB" w:rsidRPr="00D974AB" w:rsidRDefault="00D974AB" w:rsidP="00A067A2">
      <w:pPr>
        <w:jc w:val="both"/>
      </w:pPr>
      <w:r w:rsidRPr="00D974AB">
        <w:t xml:space="preserve">Χορηγούνται ΜΣΑΦ </w:t>
      </w:r>
      <w:r w:rsidRPr="00D974AB">
        <w:rPr>
          <w:b/>
        </w:rPr>
        <w:t>(α)</w:t>
      </w:r>
      <w:r w:rsidRPr="00D974AB">
        <w:t xml:space="preserve"> ή IL-1i (Anakinra/ Canakinumab)</w:t>
      </w:r>
      <w:r w:rsidRPr="00D974AB">
        <w:rPr>
          <w:b/>
        </w:rPr>
        <w:t xml:space="preserve"> (β)</w:t>
      </w:r>
      <w:r w:rsidRPr="00D974AB">
        <w:t xml:space="preserve">  για 1 μήνα. </w:t>
      </w:r>
    </w:p>
    <w:p w:rsidR="00D974AB" w:rsidRPr="00D974AB" w:rsidRDefault="00D974AB" w:rsidP="00A067A2">
      <w:pPr>
        <w:jc w:val="both"/>
        <w:rPr>
          <w:b/>
        </w:rPr>
      </w:pPr>
      <w:r w:rsidRPr="00D974AB">
        <w:rPr>
          <w:b/>
        </w:rPr>
        <w:t>α.</w:t>
      </w:r>
      <w:r w:rsidRPr="00D974AB">
        <w:t xml:space="preserve"> Εάν δεν απαντήσει ο ασθενής στα ΜΣΑΦ προτείνονται 3 επιλογές/μονοπάτια όπως και στην περίπτωση </w:t>
      </w:r>
      <w:r w:rsidRPr="00D974AB">
        <w:rPr>
          <w:b/>
        </w:rPr>
        <w:t>1(α,β,γ)</w:t>
      </w:r>
    </w:p>
    <w:p w:rsidR="00D974AB" w:rsidRPr="00D974AB" w:rsidRDefault="00D974AB" w:rsidP="00A067A2">
      <w:pPr>
        <w:jc w:val="both"/>
      </w:pPr>
      <w:r w:rsidRPr="00D974AB">
        <w:rPr>
          <w:b/>
        </w:rPr>
        <w:t>β.</w:t>
      </w:r>
      <w:r w:rsidRPr="00D974AB">
        <w:t xml:space="preserve"> Εάν δεν απαντήσει ο ασθενής στους  IL-1i (Anakinra/Canakinumab)) προτείνονται 2 επιλογές/μονοπάτια:</w:t>
      </w:r>
    </w:p>
    <w:p w:rsidR="00D974AB" w:rsidRPr="00D974AB" w:rsidRDefault="00D974AB" w:rsidP="00A067A2">
      <w:pPr>
        <w:numPr>
          <w:ilvl w:val="0"/>
          <w:numId w:val="21"/>
        </w:numPr>
        <w:jc w:val="both"/>
      </w:pPr>
      <w:r w:rsidRPr="00D974AB">
        <w:t>Αριθμός αρθρώσεων με ενεργό αρθρίτιδα 0-4, ανεξάρτητα από την MDVAS global : Χορηγούνται IL-6i (Τοcilizumab) ή Μεθοτρεξάτη /Λεφλουνομίδη</w:t>
      </w:r>
    </w:p>
    <w:p w:rsidR="00D974AB" w:rsidRPr="00D974AB" w:rsidRDefault="00D974AB" w:rsidP="00A067A2">
      <w:pPr>
        <w:numPr>
          <w:ilvl w:val="0"/>
          <w:numId w:val="21"/>
        </w:numPr>
        <w:jc w:val="both"/>
      </w:pPr>
      <w:r w:rsidRPr="00D974AB">
        <w:t>Αριθμός αρθρώσεων με ενεργό αρθρίτιδα &gt;4, ανεξάρτητα από την MDVAS global:  Χορηγούνται IL-6i (Τοcilizumab) ή Μεθοτρεξάτη /Λεφλουνομίδη ή TNF-ai (Adalimumab, Etanercept, Infliximab)</w:t>
      </w:r>
    </w:p>
    <w:p w:rsidR="00D974AB" w:rsidRPr="00D974AB" w:rsidRDefault="00D974AB" w:rsidP="00A067A2">
      <w:pPr>
        <w:jc w:val="both"/>
      </w:pPr>
    </w:p>
    <w:p w:rsidR="00D974AB" w:rsidRPr="00D974AB" w:rsidRDefault="00D974AB" w:rsidP="00A067A2">
      <w:pPr>
        <w:jc w:val="both"/>
        <w:rPr>
          <w:b/>
          <w:i/>
        </w:rPr>
      </w:pPr>
      <w:r w:rsidRPr="00D974AB">
        <w:rPr>
          <w:b/>
        </w:rPr>
        <w:t xml:space="preserve">3. </w:t>
      </w:r>
      <w:r w:rsidRPr="00D974AB">
        <w:rPr>
          <w:b/>
          <w:i/>
        </w:rPr>
        <w:t>MDVAS global &lt;5 και &gt;4 αρθρώσεις με ενεργό αρθρίτιδα</w:t>
      </w:r>
    </w:p>
    <w:p w:rsidR="00D974AB" w:rsidRPr="00D974AB" w:rsidRDefault="00D974AB" w:rsidP="00A067A2">
      <w:pPr>
        <w:jc w:val="both"/>
      </w:pPr>
      <w:r w:rsidRPr="00D974AB">
        <w:t xml:space="preserve">Χορηγούνται ΜΣΑΦ </w:t>
      </w:r>
      <w:r w:rsidRPr="00D974AB">
        <w:rPr>
          <w:b/>
        </w:rPr>
        <w:t>(α)</w:t>
      </w:r>
      <w:r w:rsidRPr="00D974AB">
        <w:t xml:space="preserve">  ή ΚΣ </w:t>
      </w:r>
      <w:r w:rsidRPr="00D974AB">
        <w:rPr>
          <w:b/>
        </w:rPr>
        <w:t>(β)</w:t>
      </w:r>
      <w:r w:rsidRPr="00D974AB">
        <w:t xml:space="preserve"> από το στόμα ή ενδοφλέβια για 2 εβδομάδες ή IL-1i (Anakinra/ Canakinumab)</w:t>
      </w:r>
      <w:r w:rsidRPr="00D974AB">
        <w:rPr>
          <w:b/>
        </w:rPr>
        <w:t xml:space="preserve"> (γ)</w:t>
      </w:r>
      <w:r w:rsidRPr="00D974AB">
        <w:t xml:space="preserve">  για 1 μήνα.</w:t>
      </w:r>
    </w:p>
    <w:p w:rsidR="00D974AB" w:rsidRPr="00D974AB" w:rsidRDefault="00D974AB" w:rsidP="00A067A2">
      <w:pPr>
        <w:jc w:val="both"/>
        <w:rPr>
          <w:b/>
        </w:rPr>
      </w:pPr>
      <w:r w:rsidRPr="00D974AB">
        <w:rPr>
          <w:b/>
        </w:rPr>
        <w:t>α.</w:t>
      </w:r>
      <w:r w:rsidRPr="00D974AB">
        <w:t xml:space="preserve"> Εάν δεν απαντήσει ο ασθενής στα ΜΣΑΦ προτείνονται 3 επιλογές/μονοπάτια όπως και στην περίπτωση </w:t>
      </w:r>
      <w:r w:rsidRPr="00D974AB">
        <w:rPr>
          <w:b/>
        </w:rPr>
        <w:t>1 (α,β,γ)</w:t>
      </w:r>
    </w:p>
    <w:p w:rsidR="00D974AB" w:rsidRPr="00D974AB" w:rsidRDefault="00D974AB" w:rsidP="00A067A2">
      <w:pPr>
        <w:jc w:val="both"/>
      </w:pPr>
      <w:r w:rsidRPr="00D974AB">
        <w:rPr>
          <w:b/>
        </w:rPr>
        <w:t>β.</w:t>
      </w:r>
      <w:r w:rsidRPr="00D974AB">
        <w:t xml:space="preserve"> Εάν δεν απαντήσει ο ασθενής στα KΣ προτείνονται 2 επιλογές/μονοπάτια: </w:t>
      </w:r>
    </w:p>
    <w:p w:rsidR="00D974AB" w:rsidRPr="00D974AB" w:rsidRDefault="00D974AB" w:rsidP="00A067A2">
      <w:pPr>
        <w:numPr>
          <w:ilvl w:val="0"/>
          <w:numId w:val="23"/>
        </w:numPr>
        <w:jc w:val="both"/>
      </w:pPr>
      <w:r w:rsidRPr="00D974AB">
        <w:t>MDVAS global &lt;5  και  αριθμός  αρθρώσεων με ενεργό αρθρίτιδα &gt;0 : Χορηγούνται IL-1i (Anakinra/ Canakinumab) ή  IL-6i (Τοcilizumab) ή Μεθοτρεξάτη /Λεφλουνομίδη</w:t>
      </w:r>
    </w:p>
    <w:p w:rsidR="00D974AB" w:rsidRPr="00D974AB" w:rsidRDefault="00D974AB" w:rsidP="00A067A2">
      <w:pPr>
        <w:numPr>
          <w:ilvl w:val="0"/>
          <w:numId w:val="23"/>
        </w:numPr>
        <w:jc w:val="both"/>
      </w:pPr>
      <w:r w:rsidRPr="00D974AB">
        <w:t>MDVAS global ≥5  ανεξάρτητα από τον αριθμό αρθρώσεων με ενεργό αρθρίτιδα ή  MDVAS global &lt;5  με απουσία ενεργού αρθρίτιδας : Χορηγούνται IL-1i (Anakinra/ Canakinumab) ή IL-6i (Tocilizumab)</w:t>
      </w:r>
    </w:p>
    <w:p w:rsidR="00D974AB" w:rsidRPr="00D974AB" w:rsidRDefault="00D974AB" w:rsidP="00A067A2">
      <w:pPr>
        <w:jc w:val="both"/>
      </w:pPr>
      <w:r w:rsidRPr="00D974AB">
        <w:rPr>
          <w:b/>
        </w:rPr>
        <w:t>γ.</w:t>
      </w:r>
      <w:r w:rsidRPr="00D974AB">
        <w:t xml:space="preserve"> Εάν δεν απαντήσει ο ασθενής στους IL-1i (Anakinra/Canakinumab) προτείνονται 2 επιλογές/μονοπάτια:</w:t>
      </w:r>
    </w:p>
    <w:p w:rsidR="00D974AB" w:rsidRPr="00D974AB" w:rsidRDefault="00D974AB" w:rsidP="00A067A2">
      <w:pPr>
        <w:numPr>
          <w:ilvl w:val="0"/>
          <w:numId w:val="22"/>
        </w:numPr>
        <w:jc w:val="both"/>
      </w:pPr>
      <w:r w:rsidRPr="00D974AB">
        <w:t>Αριθμός αρθρώσεων με ενεργό αρθρίτιδα 0-4, ανεξάρτητα από την MDVAS global : Χορηγούνται IL-6i (Τοcilizumab) ή Μεθοτρεξάτη / Λεφλουνομίδη</w:t>
      </w:r>
    </w:p>
    <w:p w:rsidR="00D974AB" w:rsidRPr="00D974AB" w:rsidRDefault="00D974AB" w:rsidP="00A067A2">
      <w:pPr>
        <w:numPr>
          <w:ilvl w:val="0"/>
          <w:numId w:val="22"/>
        </w:numPr>
        <w:jc w:val="both"/>
      </w:pPr>
      <w:r w:rsidRPr="00D974AB">
        <w:t>Αριθμός αρθρώσεων με ενεργό αρθρίτιδα &gt;4, ανεξάρτητα από την MDVAS global:  Χορηγούνται IL-6i (Τοcilizumab) ή Μεθοτρεξάτη/Λεφλουνομίδη ή TNF-ai (Adalimumab, Etanercept, Infliximab)</w:t>
      </w:r>
    </w:p>
    <w:p w:rsidR="00D974AB" w:rsidRPr="00D974AB" w:rsidRDefault="00D974AB" w:rsidP="00A067A2">
      <w:pPr>
        <w:jc w:val="both"/>
        <w:rPr>
          <w:b/>
        </w:rPr>
      </w:pPr>
    </w:p>
    <w:p w:rsidR="00D974AB" w:rsidRPr="00D974AB" w:rsidRDefault="00D974AB" w:rsidP="00A067A2">
      <w:pPr>
        <w:jc w:val="both"/>
        <w:rPr>
          <w:b/>
        </w:rPr>
      </w:pPr>
      <w:r w:rsidRPr="00D974AB">
        <w:rPr>
          <w:b/>
        </w:rPr>
        <w:t xml:space="preserve">4. </w:t>
      </w:r>
      <w:r w:rsidRPr="00D974AB">
        <w:rPr>
          <w:b/>
          <w:i/>
        </w:rPr>
        <w:t xml:space="preserve">MDVAS global ≥5 ανεξάρτητα από τον αριθμό αρθρώσεων με ενεργό αρθρίτιδα </w:t>
      </w:r>
    </w:p>
    <w:p w:rsidR="00D974AB" w:rsidRPr="00D974AB" w:rsidRDefault="00D974AB" w:rsidP="00A067A2">
      <w:pPr>
        <w:jc w:val="both"/>
      </w:pPr>
      <w:r w:rsidRPr="00D974AB">
        <w:t xml:space="preserve">Χορηγούνται ΚΣ από το στόμα ή ενδοφλέβια </w:t>
      </w:r>
      <w:r w:rsidRPr="00D974AB">
        <w:rPr>
          <w:b/>
        </w:rPr>
        <w:t>(α)</w:t>
      </w:r>
      <w:r w:rsidRPr="00D974AB">
        <w:t xml:space="preserve"> για 2 εβδομάδες ή IL-1i (Anakinra/ Canakinumab)</w:t>
      </w:r>
      <w:r w:rsidRPr="00D974AB">
        <w:rPr>
          <w:b/>
        </w:rPr>
        <w:t xml:space="preserve"> (β)</w:t>
      </w:r>
      <w:r w:rsidRPr="00D974AB">
        <w:t xml:space="preserve">  για 1 μήνα</w:t>
      </w:r>
    </w:p>
    <w:p w:rsidR="00D974AB" w:rsidRPr="00D974AB" w:rsidRDefault="00D974AB" w:rsidP="00A067A2">
      <w:pPr>
        <w:jc w:val="both"/>
        <w:rPr>
          <w:b/>
        </w:rPr>
      </w:pPr>
      <w:r w:rsidRPr="00D974AB">
        <w:rPr>
          <w:b/>
        </w:rPr>
        <w:t xml:space="preserve">α. </w:t>
      </w:r>
      <w:r w:rsidRPr="00D974AB">
        <w:t xml:space="preserve">Εάν δεν απαντήσει ο ασθενής στα KΣ, προτείνονται 2 επιλογές/μονοπάτια όπως και στην περίπτωση </w:t>
      </w:r>
      <w:r w:rsidRPr="00D974AB">
        <w:rPr>
          <w:b/>
        </w:rPr>
        <w:t>3(β)</w:t>
      </w:r>
    </w:p>
    <w:p w:rsidR="00D974AB" w:rsidRPr="009062FD" w:rsidRDefault="00D974AB" w:rsidP="00A067A2">
      <w:pPr>
        <w:jc w:val="both"/>
        <w:rPr>
          <w:b/>
        </w:rPr>
      </w:pPr>
      <w:r w:rsidRPr="009062FD">
        <w:rPr>
          <w:b/>
        </w:rPr>
        <w:t>β.</w:t>
      </w:r>
      <w:r w:rsidRPr="009062FD">
        <w:t xml:space="preserve"> Εάν δεν απαντήσει ο ασθενής στους IL-1i (Anakinra/Canakinumab) προτείνονται 2 επιλογές/μονοπάτια όπως στις περιπτώσεις </w:t>
      </w:r>
      <w:r w:rsidRPr="009062FD">
        <w:rPr>
          <w:b/>
        </w:rPr>
        <w:t xml:space="preserve">2 (β) και 3 (γ) </w:t>
      </w:r>
    </w:p>
    <w:p w:rsidR="00D974AB" w:rsidRPr="009062FD" w:rsidRDefault="00D974AB" w:rsidP="00A067A2">
      <w:pPr>
        <w:jc w:val="both"/>
      </w:pPr>
    </w:p>
    <w:p w:rsidR="00D974AB" w:rsidRPr="009062FD" w:rsidRDefault="00D974AB" w:rsidP="00A067A2">
      <w:pPr>
        <w:jc w:val="both"/>
      </w:pPr>
      <w:r w:rsidRPr="009062FD">
        <w:t>Σχηματικά, η όλη στρατηγική της θεραπείας φαίνεται στο</w:t>
      </w:r>
      <w:r w:rsidR="009062FD">
        <w:t>υς</w:t>
      </w:r>
      <w:r w:rsidRPr="009062FD">
        <w:t xml:space="preserve"> αλγόριθμο</w:t>
      </w:r>
      <w:r w:rsidR="009062FD">
        <w:t>υς</w:t>
      </w:r>
      <w:r w:rsidRPr="009062FD">
        <w:t>/</w:t>
      </w:r>
      <w:r w:rsidR="00F90BA4" w:rsidRPr="009062FD">
        <w:t>σ</w:t>
      </w:r>
      <w:r w:rsidRPr="009062FD">
        <w:t>χήματα 2-5.</w:t>
      </w:r>
    </w:p>
    <w:p w:rsidR="00D974AB" w:rsidRDefault="00D974AB" w:rsidP="00A067A2">
      <w:pPr>
        <w:jc w:val="both"/>
        <w:rPr>
          <w:b/>
        </w:rPr>
      </w:pPr>
    </w:p>
    <w:p w:rsidR="002C4C2B" w:rsidRPr="00D974AB" w:rsidRDefault="002C4C2B" w:rsidP="00A067A2">
      <w:pPr>
        <w:jc w:val="both"/>
        <w:rPr>
          <w:b/>
        </w:rPr>
      </w:pPr>
    </w:p>
    <w:p w:rsidR="00D974AB" w:rsidRPr="00D974AB" w:rsidRDefault="00D974AB" w:rsidP="00A067A2">
      <w:pPr>
        <w:jc w:val="both"/>
      </w:pPr>
      <w:r w:rsidRPr="00D974AB">
        <w:rPr>
          <w:b/>
          <w:i/>
        </w:rPr>
        <w:t>5</w:t>
      </w:r>
      <w:r w:rsidRPr="00D974AB">
        <w:rPr>
          <w:b/>
          <w:i/>
          <w:vertAlign w:val="superscript"/>
        </w:rPr>
        <w:t xml:space="preserve">Η </w:t>
      </w:r>
      <w:r w:rsidRPr="00D974AB">
        <w:rPr>
          <w:b/>
          <w:i/>
        </w:rPr>
        <w:t xml:space="preserve">ΘΕΡΑΠΕΥΤΙΚΗ ΟΜΑΔΑ: ΑΣΘΕΝΕΙΣ ΜΕ ΣΥΣΤΗΜΑΤΙΚΗ </w:t>
      </w:r>
      <w:r w:rsidRPr="00D974AB">
        <w:rPr>
          <w:b/>
          <w:i/>
          <w:lang w:bidi="en-US"/>
        </w:rPr>
        <w:t>NIA</w:t>
      </w:r>
      <w:r w:rsidRPr="00D974AB">
        <w:rPr>
          <w:b/>
          <w:i/>
        </w:rPr>
        <w:t xml:space="preserve"> ΣΤΟΥΣ ΟΠΟΙΟΥΣ ΠΡΟΕΧΕΙ Η ΕΝΕΡΓΟΣ ΑΡΘΡΙΤΙΔΑ ΚΑΙ ΑΠΟΥΣΙΑΖΟΥΝ  ΟΙ  ΣΥΣΤΗΜΑΤΙΚΕΣ ΕΚΔΗΛΩΣΕΙΣ</w:t>
      </w:r>
    </w:p>
    <w:p w:rsidR="00D974AB" w:rsidRPr="009062FD" w:rsidRDefault="00D974AB" w:rsidP="00A067A2">
      <w:pPr>
        <w:jc w:val="both"/>
      </w:pPr>
      <w:r w:rsidRPr="00D974AB">
        <w:t xml:space="preserve">Εντάσσονται όλοι οι ασθενείς  που πληρούν τα κριτήρια ILAR για τη ΣΝΙΑ, και οι οποίοι έχουν ενεργό αρθρίτιδα  χωρίς  συστηματικές εκδηλώσεις. (π.χ. ασθενείς με κλινικό φαινότυπο ΣΝΙΑ στους οποίους υφέθηκαν οι συστηματικές εκδηλώσεις αυτόματα  ή μόνο με τη λήψη ΜΣΑΦ αλλά  </w:t>
      </w:r>
      <w:r w:rsidRPr="009062FD">
        <w:t xml:space="preserve">παραμένει  ενεργός  αρθρίτιδα). </w:t>
      </w:r>
      <w:r w:rsidR="007A41F9" w:rsidRPr="009062FD">
        <w:rPr>
          <w:vertAlign w:val="superscript"/>
        </w:rPr>
        <w:t>12</w:t>
      </w:r>
    </w:p>
    <w:p w:rsidR="00D974AB" w:rsidRPr="00D974AB" w:rsidRDefault="00D974AB" w:rsidP="00A067A2">
      <w:pPr>
        <w:jc w:val="both"/>
      </w:pPr>
      <w:r w:rsidRPr="00D974AB">
        <w:t xml:space="preserve">Τα θεραπευτικά πρωτόκολλα για τους ασθενείς της ομάδας αυτής συστήνονται μόνο  με βάση  </w:t>
      </w:r>
      <w:r w:rsidRPr="00D974AB">
        <w:rPr>
          <w:b/>
          <w:i/>
        </w:rPr>
        <w:t xml:space="preserve">τον βαθμό ενεργού αρθρίτιδας (0, 1-4, &gt;4) και όχι το επίπεδο δραστηριότητας της νόσου (MDVAS global ≤5 ή ≥5 ). </w:t>
      </w:r>
      <w:r w:rsidRPr="00D974AB">
        <w:t>Σε κάθε περίπτωση μπορεί να προτείνονται περισσότερα από ένα θεραπευτικά μονοπάτια, οπότε, εναπόκειται  στην κρίση του ιατρού να επιλέξει το κατάλληλο μονοπάτι σύμφωνα με τα χαρακτηριστικά του ασθενή και τις προτιμήσεις αυτού  και της οικογένειας.</w:t>
      </w:r>
    </w:p>
    <w:p w:rsidR="00D974AB" w:rsidRPr="00D974AB" w:rsidRDefault="00D974AB" w:rsidP="00A067A2">
      <w:pPr>
        <w:jc w:val="both"/>
      </w:pPr>
      <w:r w:rsidRPr="00D974AB">
        <w:t xml:space="preserve"> Όλα τα </w:t>
      </w:r>
      <w:r w:rsidRPr="00D974AB">
        <w:rPr>
          <w:lang w:bidi="en-US"/>
        </w:rPr>
        <w:t>DMARDs</w:t>
      </w:r>
      <w:r w:rsidRPr="00D974AB">
        <w:t xml:space="preserve"> (συνθετικά και βιολογικά) που αναφέρονται στις θεραπευτικές επιλογές/μονοπάτια </w:t>
      </w:r>
      <w:r w:rsidRPr="00D974AB">
        <w:rPr>
          <w:i/>
        </w:rPr>
        <w:t xml:space="preserve">αναγράφονται κατά αλφαβητική σειρά. </w:t>
      </w:r>
      <w:r w:rsidRPr="00D974AB">
        <w:t xml:space="preserve">Όταν υπάρχει </w:t>
      </w:r>
      <w:r w:rsidR="0095164B">
        <w:t xml:space="preserve">κάθετος </w:t>
      </w:r>
      <w:r w:rsidRPr="00D974AB">
        <w:t xml:space="preserve">(/) μεταξύ 2 </w:t>
      </w:r>
      <w:r w:rsidRPr="00D974AB">
        <w:rPr>
          <w:lang w:bidi="en-US"/>
        </w:rPr>
        <w:t>DMARDs</w:t>
      </w:r>
      <w:r w:rsidR="0095164B">
        <w:rPr>
          <w:lang w:bidi="en-US"/>
        </w:rPr>
        <w:t>,</w:t>
      </w:r>
      <w:r w:rsidRPr="00D974AB">
        <w:t xml:space="preserve"> σημαίνει</w:t>
      </w:r>
      <w:r w:rsidR="0095164B">
        <w:t>,</w:t>
      </w:r>
      <w:r w:rsidRPr="00D974AB">
        <w:t xml:space="preserve"> ότι αρχίζουμε με το πρώτο είτε λόγω του ότι έχει αποδειχτεί ως φάρμακο 1</w:t>
      </w:r>
      <w:r w:rsidRPr="00D974AB">
        <w:rPr>
          <w:vertAlign w:val="superscript"/>
        </w:rPr>
        <w:t xml:space="preserve">ης </w:t>
      </w:r>
      <w:r w:rsidRPr="00D974AB">
        <w:t xml:space="preserve">εκλογής (π.χ. μεθοτρεξάτη/λεφλουνομίδη) είτε λόγω κόστους (π.χ. </w:t>
      </w:r>
      <w:r w:rsidRPr="00D974AB">
        <w:rPr>
          <w:lang w:bidi="en-US"/>
        </w:rPr>
        <w:t>Anakinra</w:t>
      </w:r>
      <w:r w:rsidRPr="00D974AB">
        <w:t>/</w:t>
      </w:r>
      <w:r w:rsidRPr="00D974AB">
        <w:rPr>
          <w:lang w:bidi="en-US"/>
        </w:rPr>
        <w:t>Canakinumab</w:t>
      </w:r>
      <w:r w:rsidRPr="00D974AB">
        <w:t xml:space="preserve"> ) ή  λόγω άλλης αιτίας/αντένδειξης. </w:t>
      </w:r>
    </w:p>
    <w:p w:rsidR="00D974AB" w:rsidRPr="00D974AB" w:rsidRDefault="00D974AB" w:rsidP="00A067A2">
      <w:pPr>
        <w:jc w:val="both"/>
      </w:pPr>
      <w:r w:rsidRPr="00D974AB">
        <w:t xml:space="preserve">Τα στάδια στην πρόοδο της θεραπείας μπορεί να είναι προσθήκη ή διαδοχική χορήγηση φαρμάκων, </w:t>
      </w:r>
      <w:r w:rsidRPr="00D974AB">
        <w:rPr>
          <w:i/>
        </w:rPr>
        <w:t>εκτός από τους βιολογικούς παράγοντες που η χορήγηση είναι πάντα διαδοχική</w:t>
      </w:r>
      <w:r w:rsidRPr="00D974AB">
        <w:t>.</w:t>
      </w:r>
    </w:p>
    <w:p w:rsidR="00D974AB" w:rsidRPr="00D974AB" w:rsidRDefault="00D974AB" w:rsidP="00A067A2">
      <w:pPr>
        <w:jc w:val="both"/>
      </w:pPr>
    </w:p>
    <w:p w:rsidR="00D974AB" w:rsidRPr="00D974AB" w:rsidRDefault="00D974AB" w:rsidP="00A067A2">
      <w:pPr>
        <w:jc w:val="both"/>
        <w:rPr>
          <w:b/>
        </w:rPr>
      </w:pPr>
      <w:r w:rsidRPr="00D974AB">
        <w:rPr>
          <w:b/>
        </w:rPr>
        <w:t>Θεραπεία:</w:t>
      </w:r>
    </w:p>
    <w:p w:rsidR="00D974AB" w:rsidRPr="00D974AB" w:rsidRDefault="00D974AB" w:rsidP="00A067A2">
      <w:pPr>
        <w:numPr>
          <w:ilvl w:val="0"/>
          <w:numId w:val="36"/>
        </w:numPr>
        <w:jc w:val="both"/>
        <w:rPr>
          <w:b/>
        </w:rPr>
      </w:pPr>
      <w:r w:rsidRPr="00D974AB">
        <w:rPr>
          <w:b/>
          <w:i/>
        </w:rPr>
        <w:t>Αριθμός αρθρώσεων με ενεργό αρθρίτιδα 1-4</w:t>
      </w:r>
      <w:r w:rsidRPr="00D974AB">
        <w:rPr>
          <w:b/>
        </w:rPr>
        <w:t xml:space="preserve"> </w:t>
      </w:r>
    </w:p>
    <w:p w:rsidR="00D974AB" w:rsidRPr="00D974AB" w:rsidRDefault="00D974AB" w:rsidP="00A067A2">
      <w:pPr>
        <w:jc w:val="both"/>
      </w:pPr>
      <w:r w:rsidRPr="00D974AB">
        <w:t xml:space="preserve">Χορηγούνται ΚΣ ενδοαρθρικά </w:t>
      </w:r>
      <w:r w:rsidRPr="00D974AB">
        <w:rPr>
          <w:b/>
        </w:rPr>
        <w:t>(α)</w:t>
      </w:r>
      <w:r w:rsidRPr="00D974AB">
        <w:t xml:space="preserve"> ή ΜΣΑΦ </w:t>
      </w:r>
      <w:r w:rsidRPr="00D974AB">
        <w:rPr>
          <w:b/>
        </w:rPr>
        <w:t>(β)</w:t>
      </w:r>
      <w:r w:rsidRPr="00D974AB">
        <w:t xml:space="preserve"> για 1 μήνα.</w:t>
      </w:r>
    </w:p>
    <w:p w:rsidR="00D974AB" w:rsidRPr="00D974AB" w:rsidRDefault="00D974AB" w:rsidP="00A067A2">
      <w:pPr>
        <w:jc w:val="both"/>
      </w:pPr>
      <w:r w:rsidRPr="00D974AB">
        <w:rPr>
          <w:b/>
        </w:rPr>
        <w:t>α.</w:t>
      </w:r>
      <w:r w:rsidRPr="00D974AB">
        <w:t xml:space="preserve">  Εάν δεν απαντήσει ο ασθενής στην ενδοαρθρική έγχυση ΚΣ, προτείνονται 2 επιλογές/μονοπάτια:</w:t>
      </w:r>
    </w:p>
    <w:p w:rsidR="00D974AB" w:rsidRPr="00D974AB" w:rsidRDefault="00D974AB" w:rsidP="00A067A2">
      <w:pPr>
        <w:jc w:val="both"/>
      </w:pPr>
      <w:r w:rsidRPr="00D974AB">
        <w:t xml:space="preserve">Εάν υπάρχει ενεργός αρθρίτιδα σε 1-4 αρθρώσεις : </w:t>
      </w:r>
    </w:p>
    <w:p w:rsidR="00D974AB" w:rsidRPr="00D974AB" w:rsidRDefault="00D974AB" w:rsidP="00A067A2">
      <w:pPr>
        <w:numPr>
          <w:ilvl w:val="0"/>
          <w:numId w:val="28"/>
        </w:numPr>
        <w:jc w:val="both"/>
      </w:pPr>
      <w:r w:rsidRPr="00D974AB">
        <w:t xml:space="preserve">Χορηγούνται Μεθοτρεξάτη/Λεφλουνομίδη.  Εάν πάλι δεν απαντήσει ο ασθενής και υπάρχει ενεργός αρθρίτιδα σε &gt;0 αρθρώσεις μετά 3 μήνες χορήγησης των ανωτέρω φαρμάκων  συνεχίζουμε με </w:t>
      </w:r>
      <w:r w:rsidRPr="00D974AB">
        <w:rPr>
          <w:lang w:bidi="en-US"/>
        </w:rPr>
        <w:t>Abatacept</w:t>
      </w:r>
      <w:r w:rsidRPr="00D974AB">
        <w:t xml:space="preserve"> ή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w:t>
      </w:r>
    </w:p>
    <w:p w:rsidR="00D974AB" w:rsidRPr="00D974AB" w:rsidRDefault="00D974AB" w:rsidP="00A067A2">
      <w:pPr>
        <w:jc w:val="both"/>
      </w:pPr>
      <w:r w:rsidRPr="00D974AB">
        <w:t xml:space="preserve">Εάν υπάρχει ενεργός αρθρίτιδα σε &gt;4 αρθρώσεις  προτείνονται 2 επιλογές/μονοπάτια: </w:t>
      </w:r>
    </w:p>
    <w:p w:rsidR="00D974AB" w:rsidRPr="00D974AB" w:rsidRDefault="00D974AB" w:rsidP="00A067A2">
      <w:pPr>
        <w:numPr>
          <w:ilvl w:val="0"/>
          <w:numId w:val="28"/>
        </w:numPr>
        <w:jc w:val="both"/>
      </w:pPr>
      <w:r w:rsidRPr="00D974AB">
        <w:t xml:space="preserve">Χορηγούνται Μεθοτρεξάτη /Λεφλουνομίδη. Εάν πάλι δεν απαντήσει ο ασθενής και υπάρχει ενεργός αρθρίτιδα σε &gt;0 αρθρώσεις μετά 3 μήνες χορήγησης των ανωτέρω φαρμάκων  συνεχίζουμε με </w:t>
      </w:r>
      <w:r w:rsidRPr="00D974AB">
        <w:rPr>
          <w:lang w:bidi="en-US"/>
        </w:rPr>
        <w:t>Abatacept</w:t>
      </w:r>
      <w:r w:rsidRPr="00D974AB">
        <w:t xml:space="preserve"> ή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w:t>
      </w:r>
    </w:p>
    <w:p w:rsidR="00D974AB" w:rsidRPr="00D974AB" w:rsidRDefault="00D974AB" w:rsidP="00A067A2">
      <w:pPr>
        <w:numPr>
          <w:ilvl w:val="0"/>
          <w:numId w:val="28"/>
        </w:numPr>
        <w:jc w:val="both"/>
      </w:pPr>
      <w:r w:rsidRPr="00D974AB">
        <w:t xml:space="preserve">Χορηγούνται </w:t>
      </w:r>
      <w:r w:rsidRPr="00D974AB">
        <w:rPr>
          <w:lang w:bidi="en-US"/>
        </w:rPr>
        <w:t>IL</w:t>
      </w:r>
      <w:r w:rsidRPr="00D974AB">
        <w:t>-1</w:t>
      </w:r>
      <w:r w:rsidRPr="00D974AB">
        <w:rPr>
          <w:lang w:bidi="en-US"/>
        </w:rPr>
        <w:t>i</w:t>
      </w:r>
      <w:r w:rsidRPr="00D974AB">
        <w:t xml:space="preserve"> (</w:t>
      </w:r>
      <w:r w:rsidRPr="00D974AB">
        <w:rPr>
          <w:lang w:bidi="en-US"/>
        </w:rPr>
        <w:t>Anakinra</w:t>
      </w:r>
      <w:r w:rsidRPr="00D974AB">
        <w:t xml:space="preserve">/ </w:t>
      </w:r>
      <w:r w:rsidRPr="00D974AB">
        <w:rPr>
          <w:lang w:bidi="en-US"/>
        </w:rPr>
        <w:t>Canakinumab</w:t>
      </w:r>
      <w:r w:rsidRPr="00D974AB">
        <w:t xml:space="preserve">) για 1 μήνα. Εάν πάλι δεν απαντήσει ο ασθενής και υπάρχει ενεργός αρθρίτιδα σε &gt;0 αρθρώσεις μετά 1 μήνα χορήγησης των ανωτέρω παραγόντων συνεχίζουμε με </w:t>
      </w:r>
      <w:r w:rsidRPr="00D974AB">
        <w:rPr>
          <w:lang w:bidi="en-US"/>
        </w:rPr>
        <w:t>Abatacept</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Μεθοτρεξάτη/Λεφλουνομίδη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 xml:space="preserve">) </w:t>
      </w:r>
    </w:p>
    <w:p w:rsidR="00D974AB" w:rsidRPr="00D974AB" w:rsidRDefault="00D974AB" w:rsidP="00A067A2">
      <w:pPr>
        <w:jc w:val="both"/>
      </w:pPr>
    </w:p>
    <w:p w:rsidR="00D974AB" w:rsidRPr="00D974AB" w:rsidRDefault="00D974AB" w:rsidP="00A067A2">
      <w:pPr>
        <w:jc w:val="both"/>
      </w:pPr>
      <w:r w:rsidRPr="00D974AB">
        <w:rPr>
          <w:b/>
        </w:rPr>
        <w:t>β.</w:t>
      </w:r>
      <w:r w:rsidRPr="00D974AB">
        <w:t xml:space="preserve"> Εάν δεν απαντήσει ο ασθενής στα ΜΣΑΦ μετά από 1 μήνα θεραπείας προτείνονται 2 επιλογές/μονοπάτια:</w:t>
      </w:r>
    </w:p>
    <w:p w:rsidR="00D974AB" w:rsidRPr="00D974AB" w:rsidRDefault="00D974AB" w:rsidP="00A067A2">
      <w:pPr>
        <w:jc w:val="both"/>
      </w:pPr>
      <w:r w:rsidRPr="00D974AB">
        <w:t>Εάν υπάρχει ενεργός αρθρίτιδα σε 1-4 αρθρώσεις:</w:t>
      </w:r>
    </w:p>
    <w:p w:rsidR="00D974AB" w:rsidRPr="00D974AB" w:rsidRDefault="00D974AB" w:rsidP="00A067A2">
      <w:pPr>
        <w:numPr>
          <w:ilvl w:val="0"/>
          <w:numId w:val="37"/>
        </w:numPr>
        <w:jc w:val="both"/>
      </w:pPr>
      <w:r w:rsidRPr="00D974AB">
        <w:t xml:space="preserve">Χορηγούνται Μεθοτρεξάτη/Λεφλουνομίδη. Εάν πάλι δεν απαντήσει ο ασθενής και υπάρχει ενεργός αρθρίτιδα σε &gt;0 αρθρώσεις μετά 3 μήνες χορήγησης των ανωτέρω φαρμάκων  συνεχίζουμε με </w:t>
      </w:r>
      <w:r w:rsidRPr="00D974AB">
        <w:rPr>
          <w:lang w:bidi="en-US"/>
        </w:rPr>
        <w:t>Abatacept</w:t>
      </w:r>
      <w:r w:rsidRPr="00D974AB">
        <w:t xml:space="preserve"> ή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 xml:space="preserve">) </w:t>
      </w:r>
    </w:p>
    <w:p w:rsidR="00D974AB" w:rsidRPr="00D974AB" w:rsidRDefault="00D974AB" w:rsidP="00A067A2">
      <w:pPr>
        <w:jc w:val="both"/>
      </w:pPr>
      <w:r w:rsidRPr="00D974AB">
        <w:t>Εάν υπάρχει ενεργός αρθρίτιδα σε &gt;4 αρθρώσεις προτείνονται 2 επιλογές/μονοπάτια:</w:t>
      </w:r>
    </w:p>
    <w:p w:rsidR="00D974AB" w:rsidRPr="00D974AB" w:rsidRDefault="00D974AB" w:rsidP="00A067A2">
      <w:pPr>
        <w:numPr>
          <w:ilvl w:val="0"/>
          <w:numId w:val="37"/>
        </w:numPr>
        <w:jc w:val="both"/>
      </w:pPr>
      <w:r w:rsidRPr="00D974AB">
        <w:t xml:space="preserve">Χορηγούνται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για 1 μήνα και αν πάλι δεν απαντήσει ο ασθενής και υπάρχει ενεργός αρθρίτιδα σε &gt;0 αρθρώσεις μετά 1 μήνα χορήγησης των ανωτέρω παραγόντων συνεχίζουμε με </w:t>
      </w:r>
      <w:r w:rsidRPr="00D974AB">
        <w:rPr>
          <w:lang w:bidi="en-US"/>
        </w:rPr>
        <w:t>Abatacept</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Μεθοτρεξάτη /Λεφλουνομίδη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w:t>
      </w:r>
    </w:p>
    <w:p w:rsidR="00D974AB" w:rsidRPr="00D974AB" w:rsidRDefault="00D974AB" w:rsidP="00A067A2">
      <w:pPr>
        <w:numPr>
          <w:ilvl w:val="0"/>
          <w:numId w:val="37"/>
        </w:numPr>
        <w:jc w:val="both"/>
      </w:pPr>
      <w:r w:rsidRPr="00D974AB">
        <w:t xml:space="preserve">Χορηγούνται Μεθοτρεξάτη/Λεφλουνομίδη. Εάν πάλι δεν απαντήσει ο ασθενής και υπάρχει ενεργός αρθρίτιδα σε &gt;0 αρθρώσεις μετά 3 μήνες χορήγησης των ανωτέρω φαρμάκων  συνεχίζουμε με </w:t>
      </w:r>
      <w:r w:rsidRPr="00D974AB">
        <w:rPr>
          <w:lang w:bidi="en-US"/>
        </w:rPr>
        <w:t>Abatacept</w:t>
      </w:r>
      <w:r w:rsidRPr="00D974AB">
        <w:t xml:space="preserve"> ή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 xml:space="preserve">) </w:t>
      </w:r>
    </w:p>
    <w:p w:rsidR="00D974AB" w:rsidRPr="00D974AB" w:rsidRDefault="00D974AB" w:rsidP="00A067A2">
      <w:pPr>
        <w:jc w:val="both"/>
      </w:pPr>
      <w:r w:rsidRPr="00D974AB">
        <w:t xml:space="preserve"> </w:t>
      </w:r>
    </w:p>
    <w:p w:rsidR="00D974AB" w:rsidRPr="00D974AB" w:rsidRDefault="00D974AB" w:rsidP="00A067A2">
      <w:pPr>
        <w:numPr>
          <w:ilvl w:val="0"/>
          <w:numId w:val="36"/>
        </w:numPr>
        <w:jc w:val="both"/>
        <w:rPr>
          <w:b/>
        </w:rPr>
      </w:pPr>
      <w:r w:rsidRPr="00D974AB">
        <w:rPr>
          <w:b/>
          <w:i/>
        </w:rPr>
        <w:t>Αριθμός αρθρώσεων με ενεργό αρθρίτιδα &gt;4</w:t>
      </w:r>
    </w:p>
    <w:p w:rsidR="00D974AB" w:rsidRPr="00D974AB" w:rsidRDefault="00D974AB" w:rsidP="00A067A2">
      <w:pPr>
        <w:jc w:val="both"/>
        <w:rPr>
          <w:b/>
        </w:rPr>
      </w:pPr>
      <w:r w:rsidRPr="00D974AB">
        <w:rPr>
          <w:b/>
        </w:rPr>
        <w:t xml:space="preserve"> </w:t>
      </w:r>
      <w:r w:rsidRPr="00D974AB">
        <w:t xml:space="preserve">Χορηγούνται ΜΣΑΦ </w:t>
      </w:r>
      <w:r w:rsidRPr="00D974AB">
        <w:rPr>
          <w:b/>
        </w:rPr>
        <w:t>(α)</w:t>
      </w:r>
      <w:r w:rsidRPr="00D974AB">
        <w:t xml:space="preserve">  για 1 μήνα ή Μεθοτρεξάτη /Λεφλουνομίδη </w:t>
      </w:r>
      <w:r w:rsidRPr="00D974AB">
        <w:rPr>
          <w:b/>
        </w:rPr>
        <w:t>(β)</w:t>
      </w:r>
      <w:r w:rsidRPr="00D974AB">
        <w:t xml:space="preserve"> για 3 μήνες.</w:t>
      </w:r>
    </w:p>
    <w:p w:rsidR="00D974AB" w:rsidRPr="00D974AB" w:rsidRDefault="00D974AB" w:rsidP="00A067A2">
      <w:pPr>
        <w:jc w:val="both"/>
      </w:pPr>
      <w:r w:rsidRPr="00D974AB">
        <w:rPr>
          <w:b/>
        </w:rPr>
        <w:t xml:space="preserve">α. </w:t>
      </w:r>
      <w:r w:rsidRPr="00D974AB">
        <w:t xml:space="preserve">Εάν δεν απαντήσει ο ασθενής στα ΜΣΑΦ μετά από ένα μήνα θεραπείας προτείνονται 2 επιλογές/μονοπάτια όπως και στην περίπτωση </w:t>
      </w:r>
      <w:r w:rsidRPr="00D974AB">
        <w:rPr>
          <w:b/>
        </w:rPr>
        <w:t>1(β):</w:t>
      </w:r>
    </w:p>
    <w:p w:rsidR="00D974AB" w:rsidRPr="00D974AB" w:rsidRDefault="00D974AB" w:rsidP="00A067A2">
      <w:pPr>
        <w:jc w:val="both"/>
      </w:pPr>
      <w:r w:rsidRPr="00D974AB">
        <w:rPr>
          <w:b/>
        </w:rPr>
        <w:t>β</w:t>
      </w:r>
      <w:r w:rsidRPr="00D974AB">
        <w:t xml:space="preserve">. Εάν δεν απαντήσει ο ασθενής στη χορήγηση Μεθοτρεξάτης /Λεφλουνομίδης μετά από 3 μήνες θεραπείας και υπάρχει ακόμη ενεργός αρθρίτιδα σε &gt;0 αρθρώσεις, χορηγούνται </w:t>
      </w:r>
      <w:r w:rsidRPr="00D974AB">
        <w:rPr>
          <w:lang w:bidi="en-US"/>
        </w:rPr>
        <w:t>Abatacept</w:t>
      </w:r>
      <w:r w:rsidRPr="00D974AB">
        <w:t xml:space="preserve"> ή </w:t>
      </w:r>
      <w:r w:rsidRPr="00D974AB">
        <w:rPr>
          <w:lang w:bidi="en-US"/>
        </w:rPr>
        <w:t>IL</w:t>
      </w:r>
      <w:r w:rsidRPr="00D974AB">
        <w:t>-1</w:t>
      </w:r>
      <w:r w:rsidRPr="00D974AB">
        <w:rPr>
          <w:lang w:bidi="en-US"/>
        </w:rPr>
        <w:t>i</w:t>
      </w:r>
      <w:r w:rsidRPr="00D974AB">
        <w:t xml:space="preserve"> (</w:t>
      </w:r>
      <w:r w:rsidRPr="00D974AB">
        <w:rPr>
          <w:lang w:bidi="en-US"/>
        </w:rPr>
        <w:t>Anakinra</w:t>
      </w:r>
      <w:r w:rsidRPr="00D974AB">
        <w:t>/</w:t>
      </w:r>
      <w:r w:rsidRPr="00D974AB">
        <w:rPr>
          <w:lang w:bidi="en-US"/>
        </w:rPr>
        <w:t>Canakinumab</w:t>
      </w:r>
      <w:r w:rsidRPr="00D974AB">
        <w:t xml:space="preserve">) ή </w:t>
      </w:r>
      <w:r w:rsidRPr="00D974AB">
        <w:rPr>
          <w:lang w:bidi="en-US"/>
        </w:rPr>
        <w:t>IL</w:t>
      </w:r>
      <w:r w:rsidRPr="00D974AB">
        <w:t>-6</w:t>
      </w:r>
      <w:r w:rsidRPr="00D974AB">
        <w:rPr>
          <w:lang w:bidi="en-US"/>
        </w:rPr>
        <w:t>i</w:t>
      </w:r>
      <w:r w:rsidRPr="00D974AB">
        <w:t xml:space="preserve"> (Το</w:t>
      </w:r>
      <w:r w:rsidRPr="00D974AB">
        <w:rPr>
          <w:lang w:bidi="en-US"/>
        </w:rPr>
        <w:t>cilizumab</w:t>
      </w:r>
      <w:r w:rsidRPr="00D974AB">
        <w:t xml:space="preserve">) ή </w:t>
      </w:r>
      <w:r w:rsidRPr="00D974AB">
        <w:rPr>
          <w:lang w:bidi="en-US"/>
        </w:rPr>
        <w:t>TNF</w:t>
      </w:r>
      <w:r w:rsidRPr="00D974AB">
        <w:t>-</w:t>
      </w:r>
      <w:r w:rsidRPr="00D974AB">
        <w:rPr>
          <w:lang w:bidi="en-US"/>
        </w:rPr>
        <w:t>ai</w:t>
      </w:r>
      <w:r w:rsidRPr="00D974AB">
        <w:t xml:space="preserve"> (</w:t>
      </w:r>
      <w:r w:rsidRPr="00D974AB">
        <w:rPr>
          <w:lang w:bidi="en-US"/>
        </w:rPr>
        <w:t>Adalimumab</w:t>
      </w:r>
      <w:r w:rsidRPr="00D974AB">
        <w:t xml:space="preserve">, </w:t>
      </w:r>
      <w:r w:rsidRPr="00D974AB">
        <w:rPr>
          <w:lang w:bidi="en-US"/>
        </w:rPr>
        <w:t>Etanercept</w:t>
      </w:r>
      <w:r w:rsidRPr="00D974AB">
        <w:t xml:space="preserve">, </w:t>
      </w:r>
      <w:r w:rsidRPr="00D974AB">
        <w:rPr>
          <w:lang w:bidi="en-US"/>
        </w:rPr>
        <w:t>Infliximab</w:t>
      </w:r>
      <w:r w:rsidRPr="00D974AB">
        <w:t>).</w:t>
      </w:r>
    </w:p>
    <w:p w:rsidR="00D974AB" w:rsidRPr="00D974AB" w:rsidRDefault="00D974AB" w:rsidP="00A067A2">
      <w:pPr>
        <w:jc w:val="both"/>
      </w:pPr>
    </w:p>
    <w:p w:rsidR="00D974AB" w:rsidRPr="009062FD" w:rsidRDefault="00D974AB" w:rsidP="00A067A2">
      <w:pPr>
        <w:jc w:val="both"/>
      </w:pPr>
      <w:r w:rsidRPr="009062FD">
        <w:t>Σχηματικά, η όλη στρατηγική της θεραπείας φαίνεται στο</w:t>
      </w:r>
      <w:r w:rsidR="009062FD" w:rsidRPr="009062FD">
        <w:t>υς</w:t>
      </w:r>
      <w:r w:rsidRPr="009062FD">
        <w:t xml:space="preserve"> αλγόριθμο</w:t>
      </w:r>
      <w:r w:rsidR="009062FD" w:rsidRPr="009062FD">
        <w:t>υς</w:t>
      </w:r>
      <w:r w:rsidRPr="009062FD">
        <w:t>/</w:t>
      </w:r>
      <w:r w:rsidR="00F90BA4" w:rsidRPr="009062FD">
        <w:t>σ</w:t>
      </w:r>
      <w:r w:rsidRPr="009062FD">
        <w:t>χήματα 6-7.</w:t>
      </w:r>
    </w:p>
    <w:p w:rsidR="00D974AB" w:rsidRPr="00D974AB" w:rsidRDefault="00D974AB" w:rsidP="00A067A2">
      <w:pPr>
        <w:jc w:val="both"/>
      </w:pPr>
    </w:p>
    <w:p w:rsidR="00D974AB" w:rsidRPr="00D974AB" w:rsidRDefault="005D5A58" w:rsidP="00A067A2">
      <w:pPr>
        <w:jc w:val="both"/>
        <w:rPr>
          <w:b/>
          <w:i/>
        </w:rPr>
      </w:pPr>
      <w:r>
        <w:rPr>
          <w:b/>
          <w:i/>
        </w:rPr>
        <w:t>7</w:t>
      </w:r>
      <w:r w:rsidR="00D974AB" w:rsidRPr="00D974AB">
        <w:rPr>
          <w:b/>
          <w:i/>
        </w:rPr>
        <w:t xml:space="preserve">Δ.ΘΕΡΑΠΕΙΑ ΕΞΩΑΡΘΡΙΚΩΝ ΕΚΔΗΛΩΣΕΩΝ ΤΗΣ  </w:t>
      </w:r>
      <w:r w:rsidR="00D974AB" w:rsidRPr="00D974AB">
        <w:rPr>
          <w:b/>
          <w:i/>
          <w:lang w:bidi="en-US"/>
        </w:rPr>
        <w:t>NIA</w:t>
      </w:r>
    </w:p>
    <w:p w:rsidR="00D974AB" w:rsidRPr="009062FD" w:rsidRDefault="00D974AB" w:rsidP="00A067A2">
      <w:pPr>
        <w:numPr>
          <w:ilvl w:val="0"/>
          <w:numId w:val="9"/>
        </w:numPr>
        <w:jc w:val="both"/>
      </w:pPr>
      <w:r w:rsidRPr="009062FD">
        <w:rPr>
          <w:b/>
        </w:rPr>
        <w:t>Χρόνια  πρόσθια ραγοειδίτιδα  (ιριδοκυκλίτιδα</w:t>
      </w:r>
      <w:r w:rsidR="00473742" w:rsidRPr="009062FD">
        <w:rPr>
          <w:b/>
        </w:rPr>
        <w:t>, Πίνακας 13</w:t>
      </w:r>
      <w:r w:rsidRPr="009062FD">
        <w:rPr>
          <w:b/>
        </w:rPr>
        <w:t>)</w:t>
      </w:r>
      <w:r w:rsidRPr="009062FD">
        <w:t xml:space="preserve"> </w:t>
      </w:r>
      <w:r w:rsidR="007A41F9" w:rsidRPr="009062FD">
        <w:rPr>
          <w:vertAlign w:val="superscript"/>
        </w:rPr>
        <w:t>3</w:t>
      </w:r>
      <w:r w:rsidRPr="009062FD">
        <w:rPr>
          <w:vertAlign w:val="superscript"/>
        </w:rPr>
        <w:t>,4,</w:t>
      </w:r>
      <w:r w:rsidR="007A41F9" w:rsidRPr="009062FD">
        <w:rPr>
          <w:vertAlign w:val="superscript"/>
        </w:rPr>
        <w:t>33-36</w:t>
      </w:r>
    </w:p>
    <w:p w:rsidR="00D974AB" w:rsidRPr="00D974AB" w:rsidRDefault="00D974AB" w:rsidP="00A067A2">
      <w:pPr>
        <w:jc w:val="both"/>
      </w:pPr>
      <w:r w:rsidRPr="00D974AB">
        <w:t>Πρόκειται για μη κοκκιωματώδη φλεγμονή του πρόσθιου θαλάμου του οφθαλμού</w:t>
      </w:r>
      <w:r w:rsidR="00F90BA4">
        <w:t>,</w:t>
      </w:r>
      <w:r w:rsidRPr="00D974AB">
        <w:t xml:space="preserve"> η οποία είναι τελείως ασυμπτωματική και η οποία αν δεν διαγνωσθεί και αντιμετωπιστεί έγκαιρα  μπορεί να οδηγήσει σε μειωμένη όραση  ή και τύφλωση. Η έγκαιρη διάγνωση και έναρξη της θεραπείας καθορίζει και την έκβασή της. Γι αυτό η σημαντικότερη ενέργεια για την αντιμετώπισή της είναι η προληπτική εξέταση σε σχισμοειδή λυχνία από έμπειρο οφθαλμίατρο σε τακτά χρονικά διαστήματα. </w:t>
      </w:r>
    </w:p>
    <w:p w:rsidR="00D974AB" w:rsidRPr="00D974AB" w:rsidRDefault="00D974AB" w:rsidP="00A067A2">
      <w:pPr>
        <w:jc w:val="both"/>
      </w:pPr>
      <w:r w:rsidRPr="00D974AB">
        <w:t xml:space="preserve">Είναι συχνότερη σε κορίτσια &lt;6χρονών  που έχουν ΑΝΑ θετικά, προσβολή μέχρι 4 αρθρώσεων και </w:t>
      </w:r>
      <w:r w:rsidRPr="00D974AB">
        <w:rPr>
          <w:lang w:bidi="en-US"/>
        </w:rPr>
        <w:t>RF</w:t>
      </w:r>
      <w:r w:rsidRPr="00D974AB">
        <w:t xml:space="preserve"> αρνητικό. Η απουσία ενεργού αρθρίτιδας δεν συνεπάγεται και ανενεργό ραγοειδίτιδα.</w:t>
      </w:r>
    </w:p>
    <w:p w:rsidR="00D974AB" w:rsidRPr="00D974AB" w:rsidRDefault="00D974AB" w:rsidP="00A067A2">
      <w:pPr>
        <w:jc w:val="both"/>
      </w:pPr>
    </w:p>
    <w:p w:rsidR="00D974AB" w:rsidRPr="00D974AB" w:rsidRDefault="00D974AB" w:rsidP="00A067A2">
      <w:pPr>
        <w:jc w:val="both"/>
        <w:rPr>
          <w:b/>
        </w:rPr>
      </w:pPr>
      <w:r w:rsidRPr="00D974AB">
        <w:rPr>
          <w:b/>
        </w:rPr>
        <w:t>Θεραπεία</w:t>
      </w:r>
    </w:p>
    <w:p w:rsidR="00D974AB" w:rsidRPr="00D974AB" w:rsidRDefault="00D974AB" w:rsidP="00A067A2">
      <w:pPr>
        <w:jc w:val="both"/>
      </w:pPr>
      <w:r w:rsidRPr="00D974AB">
        <w:t>Η Θεραπεία καθορίζεται από τον οφθαλμίατρο και αρχίζει με την ανεύρεση και ενός ακόμη κυττάρου στον πρόσθιο θάλαμο. Διακρίνεται σε τοπική και συστηματική θεραπεία.</w:t>
      </w:r>
    </w:p>
    <w:p w:rsidR="00D974AB" w:rsidRPr="00D974AB" w:rsidRDefault="00D974AB" w:rsidP="00A067A2">
      <w:pPr>
        <w:jc w:val="both"/>
        <w:rPr>
          <w:b/>
          <w:i/>
        </w:rPr>
      </w:pPr>
      <w:r w:rsidRPr="00D974AB">
        <w:rPr>
          <w:b/>
          <w:i/>
        </w:rPr>
        <w:t>Τοπική θεραπεία:</w:t>
      </w:r>
    </w:p>
    <w:p w:rsidR="00D974AB" w:rsidRPr="00D974AB" w:rsidRDefault="00D974AB" w:rsidP="00A067A2">
      <w:pPr>
        <w:jc w:val="both"/>
      </w:pPr>
      <w:r w:rsidRPr="00D974AB">
        <w:t>Ενσταλλάξεις κορτικοστεροειδών και κυκλοπληγικών (ενδοφθαλμική ένεση σπάνια χρησιμοποιείαι στα παιδιά). Η συχνότητα ενσταλλάξεων καθορίζεται από τη βαρύτητα της φλεγμονής και χρειάζεται τακτική παρακολούθηση για το ενδεχόμενο ανάπτυξης επιπλοκών (καταρράκτη, ενδοφθάλμιας υπέρτασης, γλαυκώματος). Ο απογαλακτισμός (</w:t>
      </w:r>
      <w:r w:rsidRPr="00D974AB">
        <w:rPr>
          <w:lang w:val="en-US"/>
        </w:rPr>
        <w:t>tapering</w:t>
      </w:r>
      <w:r w:rsidRPr="00D974AB">
        <w:t>) από  τα κορτικοστεροειδή είναι εφικτός εφόσον κατασταλεί η ραγοειδίτιδα, εξατομικεύεται, και πρέπει να γίνεται αργά και σταδιακά. Η προληπτική εξέταση συνεχίζεται και μετά τη διακοπή της θεραπείας για το ενδεχόμενο υποτροπής.</w:t>
      </w:r>
    </w:p>
    <w:p w:rsidR="00D974AB" w:rsidRPr="009062FD" w:rsidRDefault="00D974AB" w:rsidP="00A067A2">
      <w:pPr>
        <w:jc w:val="both"/>
        <w:rPr>
          <w:u w:val="single"/>
        </w:rPr>
      </w:pPr>
      <w:r w:rsidRPr="009062FD">
        <w:rPr>
          <w:b/>
          <w:i/>
        </w:rPr>
        <w:t>Συστηματική θεραπεία:</w:t>
      </w:r>
      <w:r w:rsidRPr="009062FD">
        <w:rPr>
          <w:b/>
        </w:rPr>
        <w:t xml:space="preserve"> </w:t>
      </w:r>
      <w:r w:rsidRPr="009062FD">
        <w:rPr>
          <w:b/>
          <w:vertAlign w:val="superscript"/>
        </w:rPr>
        <w:t>3</w:t>
      </w:r>
      <w:r w:rsidR="007A41F9" w:rsidRPr="009062FD">
        <w:rPr>
          <w:b/>
          <w:vertAlign w:val="superscript"/>
        </w:rPr>
        <w:t>5</w:t>
      </w:r>
      <w:r w:rsidRPr="009062FD">
        <w:rPr>
          <w:vertAlign w:val="superscript"/>
        </w:rPr>
        <w:t>,3</w:t>
      </w:r>
      <w:r w:rsidR="007A41F9" w:rsidRPr="009062FD">
        <w:rPr>
          <w:vertAlign w:val="superscript"/>
        </w:rPr>
        <w:t>6</w:t>
      </w:r>
    </w:p>
    <w:p w:rsidR="00D974AB" w:rsidRPr="00D974AB" w:rsidRDefault="00D974AB" w:rsidP="00A067A2">
      <w:pPr>
        <w:jc w:val="both"/>
      </w:pPr>
      <w:r w:rsidRPr="00D974AB">
        <w:t>Σε επίμονη ενεργό ΙΚ η τοπική θεραπεία συνδυάζεται και με συστηματική χορήγηση ΚΣ.</w:t>
      </w:r>
    </w:p>
    <w:p w:rsidR="00D974AB" w:rsidRPr="00D974AB" w:rsidRDefault="00D974AB" w:rsidP="00A067A2">
      <w:pPr>
        <w:jc w:val="both"/>
      </w:pPr>
    </w:p>
    <w:p w:rsidR="00D974AB" w:rsidRPr="00D974AB" w:rsidRDefault="00D974AB" w:rsidP="00A067A2">
      <w:pPr>
        <w:jc w:val="both"/>
      </w:pPr>
      <w:r w:rsidRPr="00D974AB">
        <w:t xml:space="preserve"> </w:t>
      </w:r>
      <w:r w:rsidRPr="00D974AB">
        <w:rPr>
          <w:b/>
        </w:rPr>
        <w:t>Ανθεκτική στα κορτικοστεροειδή πρόσθια ραγοειδίτιδα</w:t>
      </w:r>
      <w:r w:rsidRPr="00D974AB">
        <w:t xml:space="preserve"> </w:t>
      </w:r>
    </w:p>
    <w:p w:rsidR="00D974AB" w:rsidRPr="00D974AB" w:rsidRDefault="00D974AB" w:rsidP="00A067A2">
      <w:pPr>
        <w:jc w:val="both"/>
      </w:pPr>
      <w:r w:rsidRPr="00D974AB">
        <w:t xml:space="preserve">Αντιμετωπίζεται με επιπλέον συστηματική χορήγηση συνθετικών και βιολογικών </w:t>
      </w:r>
      <w:r w:rsidRPr="00D974AB">
        <w:rPr>
          <w:lang w:val="en-US"/>
        </w:rPr>
        <w:t>DMARDS</w:t>
      </w:r>
      <w:r w:rsidRPr="00D974AB">
        <w:t>.</w:t>
      </w:r>
    </w:p>
    <w:p w:rsidR="00D974AB" w:rsidRPr="00D974AB" w:rsidRDefault="00D974AB" w:rsidP="00A067A2">
      <w:pPr>
        <w:jc w:val="both"/>
      </w:pPr>
      <w:r w:rsidRPr="00D974AB">
        <w:rPr>
          <w:b/>
          <w:i/>
          <w:lang w:val="en-US"/>
        </w:rPr>
        <w:t>M</w:t>
      </w:r>
      <w:r w:rsidRPr="00D974AB">
        <w:rPr>
          <w:b/>
          <w:i/>
        </w:rPr>
        <w:t>εθοτρεξάτη:</w:t>
      </w:r>
      <w:r w:rsidRPr="00D974AB">
        <w:t xml:space="preserve"> Αποτελεί το φάρμακο πρώτης εκλογής χορηγούμενο στις καθιερωμένες δόσεις, με το ενδεχόμενο υποτροπής (περίπου στο 50% των περιπτώσεων) μετά τη διακοπή της, γι</w:t>
      </w:r>
      <w:r w:rsidR="000F62BC">
        <w:t xml:space="preserve"> </w:t>
      </w:r>
      <w:r w:rsidRPr="00D974AB">
        <w:t xml:space="preserve">αυτό αποτρέπεται  η διακοπή της  πριν την παρέλευση 3ετίας. </w:t>
      </w:r>
    </w:p>
    <w:p w:rsidR="00D974AB" w:rsidRPr="00D974AB" w:rsidRDefault="00D974AB" w:rsidP="00A067A2">
      <w:pPr>
        <w:jc w:val="both"/>
      </w:pPr>
      <w:r w:rsidRPr="00D974AB">
        <w:t>Σε αποτυχία μονοθεραπείας με μεθοτρεξάτη, μπορεί να προστεθεί 2</w:t>
      </w:r>
      <w:r w:rsidRPr="00D974AB">
        <w:rPr>
          <w:vertAlign w:val="superscript"/>
        </w:rPr>
        <w:t xml:space="preserve">ο </w:t>
      </w:r>
      <w:r w:rsidRPr="00D974AB">
        <w:t xml:space="preserve">ανοσοτροποποιητικό φάρμακο, όπως </w:t>
      </w:r>
      <w:r w:rsidRPr="00D974AB">
        <w:rPr>
          <w:b/>
          <w:i/>
        </w:rPr>
        <w:t xml:space="preserve">η κυκλοσπορίνη,  το </w:t>
      </w:r>
      <w:r w:rsidRPr="00D974AB">
        <w:rPr>
          <w:b/>
          <w:i/>
          <w:lang w:val="en-US"/>
        </w:rPr>
        <w:t>MMF</w:t>
      </w:r>
      <w:r w:rsidRPr="00D974AB">
        <w:rPr>
          <w:b/>
          <w:i/>
        </w:rPr>
        <w:t>, ή ένας TNF-i</w:t>
      </w:r>
      <w:r w:rsidRPr="00D974AB">
        <w:t xml:space="preserve">. </w:t>
      </w:r>
      <w:r w:rsidR="00153A7D">
        <w:t>Επίσης, σ</w:t>
      </w:r>
      <w:r w:rsidRPr="00D974AB">
        <w:t xml:space="preserve">ε δυσανοχή στη μεθοτρεξάτη, μπορεί να χρησιμοποιηθεί, ως μονοθεραπεία, η κυκλοσπορίνη ή κάποιο άλλο από τα προαναφερθέντα </w:t>
      </w:r>
      <w:r w:rsidRPr="00D974AB">
        <w:rPr>
          <w:lang w:val="en-US"/>
        </w:rPr>
        <w:t>DMARDS</w:t>
      </w:r>
      <w:r w:rsidRPr="00D974AB">
        <w:t>.</w:t>
      </w:r>
    </w:p>
    <w:p w:rsidR="00D974AB" w:rsidRPr="009062FD" w:rsidRDefault="00D974AB" w:rsidP="00A067A2">
      <w:pPr>
        <w:jc w:val="both"/>
        <w:rPr>
          <w:u w:val="single"/>
        </w:rPr>
      </w:pPr>
      <w:r w:rsidRPr="009062FD">
        <w:rPr>
          <w:b/>
          <w:i/>
        </w:rPr>
        <w:t>Βιολογικοί παράγοντες:</w:t>
      </w:r>
      <w:r w:rsidRPr="009062FD">
        <w:t xml:space="preserve"> </w:t>
      </w:r>
      <w:r w:rsidRPr="009062FD">
        <w:rPr>
          <w:vertAlign w:val="superscript"/>
        </w:rPr>
        <w:t>34-36</w:t>
      </w:r>
    </w:p>
    <w:p w:rsidR="00D974AB" w:rsidRPr="00D974AB" w:rsidRDefault="00D974AB" w:rsidP="00A067A2">
      <w:pPr>
        <w:jc w:val="both"/>
      </w:pPr>
      <w:r w:rsidRPr="00D974AB">
        <w:t xml:space="preserve">Χρησιμοποιούνται σε επίμονες περιπτώσεις που δεν απαντούν στα καθιερωμένα ανοσοτροποποιητικά ή είναι αυξημένος ο κίνδυνος απώλειας της όρασης, καθώς και  σε συχνά υποτροπιάζουσα ΙΚ. </w:t>
      </w:r>
    </w:p>
    <w:p w:rsidR="00D974AB" w:rsidRPr="00D974AB" w:rsidRDefault="00D974AB" w:rsidP="00A067A2">
      <w:pPr>
        <w:jc w:val="both"/>
      </w:pPr>
      <w:r w:rsidRPr="00D974AB">
        <w:t xml:space="preserve">Χρησιμοποιούνται οι </w:t>
      </w:r>
      <w:r w:rsidRPr="00D974AB">
        <w:rPr>
          <w:lang w:val="en-US"/>
        </w:rPr>
        <w:t>TNF</w:t>
      </w:r>
      <w:r w:rsidRPr="00D974AB">
        <w:t>-α</w:t>
      </w:r>
      <w:r w:rsidRPr="00D974AB">
        <w:rPr>
          <w:lang w:val="en-US"/>
        </w:rPr>
        <w:t>i</w:t>
      </w:r>
      <w:r w:rsidRPr="00D974AB">
        <w:t xml:space="preserve">, κυρίως </w:t>
      </w:r>
      <w:r w:rsidRPr="00D974AB">
        <w:rPr>
          <w:u w:val="single"/>
        </w:rPr>
        <w:t xml:space="preserve">το </w:t>
      </w:r>
      <w:r w:rsidRPr="00D974AB">
        <w:rPr>
          <w:u w:val="single"/>
          <w:lang w:val="en-US"/>
        </w:rPr>
        <w:t>adalimumab</w:t>
      </w:r>
      <w:r w:rsidRPr="00D974AB">
        <w:t xml:space="preserve"> </w:t>
      </w:r>
      <w:r w:rsidRPr="00D974AB">
        <w:rPr>
          <w:u w:val="single"/>
        </w:rPr>
        <w:t>και</w:t>
      </w:r>
      <w:r w:rsidRPr="00D974AB">
        <w:t xml:space="preserve"> το </w:t>
      </w:r>
      <w:r w:rsidRPr="00D974AB">
        <w:rPr>
          <w:u w:val="single"/>
          <w:lang w:val="en-US"/>
        </w:rPr>
        <w:t>infliximab</w:t>
      </w:r>
      <w:r w:rsidRPr="00D974AB">
        <w:rPr>
          <w:u w:val="single"/>
        </w:rPr>
        <w:t xml:space="preserve"> </w:t>
      </w:r>
    </w:p>
    <w:p w:rsidR="00D974AB" w:rsidRPr="00D974AB" w:rsidRDefault="00D974AB" w:rsidP="00A067A2">
      <w:pPr>
        <w:jc w:val="both"/>
      </w:pPr>
      <w:r w:rsidRPr="00D974AB">
        <w:t xml:space="preserve">Το adalimumab, χορηγείται υποδόρια στις συνήθεις δόσεις. Υπάρχουν προς το παρόν περιορισμένα κλινικά δεδομένα για το ότι </w:t>
      </w:r>
      <w:r w:rsidRPr="00D974AB">
        <w:rPr>
          <w:lang w:val="en-US"/>
        </w:rPr>
        <w:t>t</w:t>
      </w:r>
      <w:r w:rsidRPr="00D974AB">
        <w:t xml:space="preserve">ο adalimumab υπερτερεί από το infliximab στη διατήρηση ανενεργού ΙΚ και στην αποφυγή υποτροπών. </w:t>
      </w:r>
    </w:p>
    <w:p w:rsidR="00D974AB" w:rsidRPr="00D974AB" w:rsidRDefault="00D974AB" w:rsidP="00A067A2">
      <w:pPr>
        <w:jc w:val="both"/>
      </w:pPr>
      <w:r w:rsidRPr="00D974AB">
        <w:t>Το infliximab χορηγείται ενδοφλέβια μαζί με μεθοτρεξάτη για καλύτερη αποτελεσματικότητα.</w:t>
      </w:r>
    </w:p>
    <w:p w:rsidR="00D974AB" w:rsidRPr="00D974AB" w:rsidRDefault="00D974AB" w:rsidP="00A067A2">
      <w:pPr>
        <w:jc w:val="both"/>
      </w:pPr>
      <w:r w:rsidRPr="00D974AB">
        <w:t>Σε ανθεκτικές περιπτώσεις, μπορεί να χρησιμοποιηθεί συμπληρωματικά στο θεραπευτικό σχήμα, το abatacept και το rituximab, αλλά είναι περιορισμένη ακόμη η διεθνής εμπειρία.</w:t>
      </w:r>
    </w:p>
    <w:p w:rsidR="00D974AB" w:rsidRPr="00D974AB" w:rsidRDefault="00D974AB" w:rsidP="00A067A2">
      <w:pPr>
        <w:jc w:val="both"/>
        <w:rPr>
          <w:b/>
        </w:rPr>
      </w:pPr>
    </w:p>
    <w:p w:rsidR="00D974AB" w:rsidRPr="00D974AB" w:rsidRDefault="00D974AB" w:rsidP="00A067A2">
      <w:pPr>
        <w:jc w:val="both"/>
        <w:rPr>
          <w:b/>
        </w:rPr>
      </w:pPr>
    </w:p>
    <w:p w:rsidR="00D974AB" w:rsidRPr="002C4C2B" w:rsidRDefault="00D974AB" w:rsidP="00A067A2">
      <w:pPr>
        <w:jc w:val="both"/>
        <w:rPr>
          <w:b/>
          <w:vertAlign w:val="superscript"/>
        </w:rPr>
      </w:pPr>
      <w:r w:rsidRPr="00D974AB">
        <w:rPr>
          <w:b/>
        </w:rPr>
        <w:t>Το σύνδρομο ενεργοποίησης  μακροφάγου (</w:t>
      </w:r>
      <w:r w:rsidRPr="00D974AB">
        <w:rPr>
          <w:b/>
          <w:lang w:bidi="en-US"/>
        </w:rPr>
        <w:t>macrophage</w:t>
      </w:r>
      <w:r w:rsidRPr="00D974AB">
        <w:rPr>
          <w:b/>
        </w:rPr>
        <w:t xml:space="preserve"> </w:t>
      </w:r>
      <w:r w:rsidRPr="00D974AB">
        <w:rPr>
          <w:b/>
          <w:lang w:bidi="en-US"/>
        </w:rPr>
        <w:t>activation</w:t>
      </w:r>
      <w:r w:rsidRPr="00D974AB">
        <w:rPr>
          <w:b/>
        </w:rPr>
        <w:t xml:space="preserve"> </w:t>
      </w:r>
      <w:r w:rsidRPr="00D974AB">
        <w:rPr>
          <w:b/>
          <w:lang w:bidi="en-US"/>
        </w:rPr>
        <w:t>syndrome</w:t>
      </w:r>
      <w:r w:rsidRPr="00D974AB">
        <w:rPr>
          <w:b/>
        </w:rPr>
        <w:t xml:space="preserve">, </w:t>
      </w:r>
      <w:r w:rsidRPr="00D974AB">
        <w:rPr>
          <w:b/>
          <w:lang w:bidi="en-US"/>
        </w:rPr>
        <w:t>MAS</w:t>
      </w:r>
      <w:r w:rsidRPr="00D974AB">
        <w:rPr>
          <w:b/>
        </w:rPr>
        <w:t xml:space="preserve">) </w:t>
      </w:r>
      <w:r w:rsidRPr="00D974AB">
        <w:rPr>
          <w:b/>
          <w:vertAlign w:val="superscript"/>
        </w:rPr>
        <w:t>3</w:t>
      </w:r>
      <w:r w:rsidR="007A41F9">
        <w:rPr>
          <w:b/>
          <w:vertAlign w:val="superscript"/>
        </w:rPr>
        <w:t>7</w:t>
      </w:r>
    </w:p>
    <w:p w:rsidR="00D974AB" w:rsidRPr="00D974AB" w:rsidRDefault="00D974AB" w:rsidP="00A067A2">
      <w:pPr>
        <w:jc w:val="both"/>
      </w:pPr>
      <w:r w:rsidRPr="00D974AB">
        <w:t>Εισβάλλει με εικόνα «υπερφλεγμονής», συχνότερα στη ΣΝΙΑ, στην έναρξη ή στην πορεία της νόσου ή σε αλλαγή του θεραπευτικού σχήματος. Χαρακτηρίζεται από επίμονο πυρετό, ανθεκτικό στη χορήγηση αντιβιοτικών, και  πρώιμο εύρημα-κλειδί, την παράδοξη  σταδιακή πτώση της ΤΚΕ.</w:t>
      </w:r>
    </w:p>
    <w:p w:rsidR="00D974AB" w:rsidRPr="00D974AB" w:rsidRDefault="00D974AB" w:rsidP="00A067A2">
      <w:pPr>
        <w:jc w:val="both"/>
      </w:pPr>
      <w:r w:rsidRPr="00D974AB">
        <w:rPr>
          <w:b/>
        </w:rPr>
        <w:t>Θεραπεία</w:t>
      </w:r>
      <w:r w:rsidR="009062FD">
        <w:rPr>
          <w:b/>
        </w:rPr>
        <w:t>:</w:t>
      </w:r>
      <w:r w:rsidRPr="00D974AB">
        <w:rPr>
          <w:b/>
        </w:rPr>
        <w:t xml:space="preserve"> </w:t>
      </w:r>
      <w:r w:rsidRPr="00D974AB">
        <w:t xml:space="preserve">Μέχρι σήμερα δεν υπάρχει ομοφωνία για τον καθορισμού ενός αποδεκτού θεραπευτικού πρωτοκόλλου για το </w:t>
      </w:r>
      <w:r w:rsidRPr="00D974AB">
        <w:rPr>
          <w:lang w:bidi="en-US"/>
        </w:rPr>
        <w:t>MAS</w:t>
      </w:r>
      <w:r w:rsidRPr="00D974AB">
        <w:t xml:space="preserve">. Σε πολλά κέντρα χρησιμοποιούν τα θεραπευτικά πρωτόκολλα του οικογενούς αιμοφαγοκυτταρικού συνδρόμου. </w:t>
      </w:r>
    </w:p>
    <w:p w:rsidR="00D974AB" w:rsidRPr="00BB41D6" w:rsidRDefault="00D974AB" w:rsidP="00A067A2">
      <w:pPr>
        <w:jc w:val="both"/>
      </w:pPr>
      <w:r w:rsidRPr="00D974AB">
        <w:t xml:space="preserve">Οι περισσότεροι χρησιμοποιούν ως φάρμακο εκλογής τα κορτικοστεροειδή, αρχικά σε ενδοφλέβιες ώσεις  με μεθυλπρεδνιζολόνη ως μονοθεραπεία (όχι για περισσότερες από 2 εβδομάδες) ή σε συνδυασμό με κυκλοσπορίνη ή με </w:t>
      </w:r>
      <w:r w:rsidRPr="00D974AB">
        <w:rPr>
          <w:lang w:bidi="en-US"/>
        </w:rPr>
        <w:t>Anakinra</w:t>
      </w:r>
      <w:r w:rsidRPr="00D974AB">
        <w:t xml:space="preserve"> και στη συνέχεια από του στόματος πρεδνιζόνη, σε δόση 2</w:t>
      </w:r>
      <w:r w:rsidRPr="00D974AB">
        <w:rPr>
          <w:lang w:bidi="en-US"/>
        </w:rPr>
        <w:t>mg</w:t>
      </w:r>
      <w:r w:rsidRPr="00D974AB">
        <w:t>/</w:t>
      </w:r>
      <w:r w:rsidRPr="00D974AB">
        <w:rPr>
          <w:lang w:bidi="en-US"/>
        </w:rPr>
        <w:t>kg</w:t>
      </w:r>
      <w:r w:rsidRPr="00D974AB">
        <w:t>/</w:t>
      </w:r>
      <w:r w:rsidRPr="00D974AB">
        <w:rPr>
          <w:lang w:bidi="en-US"/>
        </w:rPr>
        <w:t>H</w:t>
      </w:r>
      <w:r w:rsidRPr="00D974AB">
        <w:t>. Σε περίπτωση ανθεκτικής στα κορτικοστεροειδή ΙΚ χρησιμοποιείται η κυκλοσπορίνη και ως μονοθεραπεία. Οι</w:t>
      </w:r>
      <w:r w:rsidRPr="00BB41D6">
        <w:t xml:space="preserve"> </w:t>
      </w:r>
      <w:r w:rsidRPr="00D974AB">
        <w:t>σοβαρές</w:t>
      </w:r>
      <w:r w:rsidRPr="00BB41D6">
        <w:t xml:space="preserve"> </w:t>
      </w:r>
      <w:r w:rsidRPr="00D974AB">
        <w:t>περιπτώσεις</w:t>
      </w:r>
      <w:r w:rsidRPr="00BB41D6">
        <w:t xml:space="preserve"> </w:t>
      </w:r>
      <w:r w:rsidRPr="00D974AB">
        <w:t>απαιτούν</w:t>
      </w:r>
      <w:r w:rsidRPr="00BB41D6">
        <w:t xml:space="preserve"> </w:t>
      </w:r>
      <w:r w:rsidRPr="00D974AB">
        <w:t>εισαγωγή</w:t>
      </w:r>
      <w:r w:rsidRPr="00BB41D6">
        <w:t xml:space="preserve"> </w:t>
      </w:r>
      <w:r w:rsidRPr="00D974AB">
        <w:t>σε</w:t>
      </w:r>
      <w:r w:rsidRPr="00BB41D6">
        <w:t xml:space="preserve"> </w:t>
      </w:r>
      <w:r w:rsidRPr="00D974AB">
        <w:t>Εντατική</w:t>
      </w:r>
      <w:r w:rsidRPr="00BB41D6">
        <w:t xml:space="preserve"> </w:t>
      </w:r>
      <w:r w:rsidRPr="00D974AB">
        <w:t>Μονάδα</w:t>
      </w:r>
      <w:r w:rsidRPr="00BB41D6">
        <w:t>.</w:t>
      </w:r>
    </w:p>
    <w:p w:rsidR="004F68CA" w:rsidRPr="00BB41D6" w:rsidRDefault="004F68CA" w:rsidP="00A067A2">
      <w:pPr>
        <w:jc w:val="both"/>
      </w:pPr>
    </w:p>
    <w:p w:rsidR="004F68CA" w:rsidRPr="004F68CA" w:rsidRDefault="004F68CA" w:rsidP="004F68CA">
      <w:pPr>
        <w:pStyle w:val="PlainText"/>
        <w:spacing w:after="240" w:line="360" w:lineRule="auto"/>
        <w:rPr>
          <w:i/>
        </w:rPr>
      </w:pPr>
      <w:r w:rsidRPr="004F68CA">
        <w:rPr>
          <w:i/>
        </w:rPr>
        <w:t>* Οι συγγραφείς εκφράζουν τις θερμές τους ευχαριστίες στη βιολόγο του Παιδιατικού και Ανοσολογικού Κέντρου Αναφοράς κα Άννα Ταπάρκου για την πολύτιμη συμβολή της στη διαμόρφωση και επιμέλεια των σχημάτων-αλγορίθμων.</w:t>
      </w:r>
    </w:p>
    <w:p w:rsidR="004F68CA" w:rsidRPr="004F68CA" w:rsidRDefault="004F68CA" w:rsidP="004F68CA">
      <w:pPr>
        <w:spacing w:after="240"/>
        <w:jc w:val="both"/>
        <w:rPr>
          <w:i/>
        </w:rPr>
      </w:pPr>
    </w:p>
    <w:p w:rsidR="00D974AB" w:rsidRPr="004F68CA" w:rsidRDefault="00D974AB" w:rsidP="00A067A2">
      <w:pPr>
        <w:jc w:val="both"/>
      </w:pPr>
    </w:p>
    <w:p w:rsidR="004E2F3D" w:rsidRPr="004F68CA" w:rsidRDefault="004E2F3D" w:rsidP="00A067A2">
      <w:pPr>
        <w:jc w:val="both"/>
      </w:pPr>
    </w:p>
    <w:p w:rsidR="00596088" w:rsidRPr="004F68CA" w:rsidRDefault="004E2F3D">
      <w:pPr>
        <w:rPr>
          <w:b/>
        </w:rPr>
      </w:pPr>
      <w:r w:rsidRPr="004F68CA">
        <w:rPr>
          <w:b/>
        </w:rPr>
        <w:br w:type="page"/>
      </w:r>
    </w:p>
    <w:p w:rsidR="00B83441" w:rsidRDefault="00CE3415" w:rsidP="00B83441">
      <w:pPr>
        <w:spacing w:line="240" w:lineRule="auto"/>
        <w:jc w:val="center"/>
        <w:rPr>
          <w:b/>
          <w:bCs/>
          <w:sz w:val="28"/>
          <w:szCs w:val="28"/>
          <w:lang w:val="en-US"/>
        </w:rPr>
      </w:pPr>
      <w:r>
        <w:rPr>
          <w:b/>
          <w:bCs/>
          <w:sz w:val="28"/>
          <w:szCs w:val="28"/>
          <w:lang w:val="en-US"/>
        </w:rPr>
        <w:t xml:space="preserve">Recommendations </w:t>
      </w:r>
      <w:r w:rsidR="00B83441">
        <w:rPr>
          <w:b/>
          <w:bCs/>
          <w:sz w:val="28"/>
          <w:szCs w:val="28"/>
          <w:lang w:val="en-US"/>
        </w:rPr>
        <w:t>f</w:t>
      </w:r>
      <w:r>
        <w:rPr>
          <w:b/>
          <w:bCs/>
          <w:sz w:val="28"/>
          <w:szCs w:val="28"/>
          <w:lang w:val="en-US"/>
        </w:rPr>
        <w:t>or</w:t>
      </w:r>
      <w:r w:rsidR="00B83441">
        <w:rPr>
          <w:b/>
          <w:bCs/>
          <w:sz w:val="28"/>
          <w:szCs w:val="28"/>
          <w:lang w:val="en-US"/>
        </w:rPr>
        <w:t xml:space="preserve"> treat</w:t>
      </w:r>
      <w:r>
        <w:rPr>
          <w:b/>
          <w:bCs/>
          <w:sz w:val="28"/>
          <w:szCs w:val="28"/>
          <w:lang w:val="en-US"/>
        </w:rPr>
        <w:t>ing</w:t>
      </w:r>
      <w:r w:rsidR="00B83441">
        <w:rPr>
          <w:b/>
          <w:bCs/>
          <w:sz w:val="28"/>
          <w:szCs w:val="28"/>
          <w:lang w:val="en-US"/>
        </w:rPr>
        <w:t xml:space="preserve"> various types</w:t>
      </w:r>
      <w:r>
        <w:rPr>
          <w:b/>
          <w:bCs/>
          <w:sz w:val="28"/>
          <w:szCs w:val="28"/>
          <w:lang w:val="en-US"/>
        </w:rPr>
        <w:t xml:space="preserve"> </w:t>
      </w:r>
      <w:r w:rsidR="00B83441">
        <w:rPr>
          <w:b/>
          <w:bCs/>
          <w:sz w:val="28"/>
          <w:szCs w:val="28"/>
          <w:lang w:val="en-US"/>
        </w:rPr>
        <w:t>of established</w:t>
      </w:r>
      <w:r>
        <w:rPr>
          <w:b/>
          <w:bCs/>
          <w:sz w:val="28"/>
          <w:szCs w:val="28"/>
          <w:lang w:val="en-US"/>
        </w:rPr>
        <w:t xml:space="preserve">                              </w:t>
      </w:r>
      <w:r w:rsidR="00B83441">
        <w:rPr>
          <w:b/>
          <w:bCs/>
          <w:sz w:val="28"/>
          <w:szCs w:val="28"/>
          <w:lang w:val="en-US"/>
        </w:rPr>
        <w:t xml:space="preserve"> Juvenile Idiopathic Arthritis</w:t>
      </w:r>
    </w:p>
    <w:p w:rsidR="00B83441" w:rsidRDefault="00B83441" w:rsidP="00B83441">
      <w:pPr>
        <w:spacing w:line="240" w:lineRule="auto"/>
        <w:jc w:val="center"/>
        <w:rPr>
          <w:b/>
          <w:bCs/>
          <w:sz w:val="28"/>
          <w:szCs w:val="28"/>
          <w:lang w:val="en-US"/>
        </w:rPr>
      </w:pPr>
    </w:p>
    <w:p w:rsidR="00A452A6" w:rsidRPr="00727345" w:rsidRDefault="00A452A6" w:rsidP="00A452A6">
      <w:pPr>
        <w:spacing w:line="240" w:lineRule="auto"/>
        <w:jc w:val="both"/>
        <w:rPr>
          <w:lang w:val="en-US"/>
        </w:rPr>
      </w:pPr>
      <w:r w:rsidRPr="00727345">
        <w:rPr>
          <w:lang w:val="en-US"/>
        </w:rPr>
        <w:t>Kanakoudi-Tsakalidou F, Pratsidou-Gertsi P, Trachana M.</w:t>
      </w:r>
    </w:p>
    <w:p w:rsidR="00A452A6" w:rsidRPr="00727345" w:rsidRDefault="00A452A6" w:rsidP="00A452A6">
      <w:pPr>
        <w:spacing w:line="240" w:lineRule="auto"/>
        <w:jc w:val="both"/>
        <w:rPr>
          <w:lang w:val="en-US"/>
        </w:rPr>
      </w:pPr>
      <w:r w:rsidRPr="00727345">
        <w:rPr>
          <w:lang w:val="en-US"/>
        </w:rPr>
        <w:t>Pediatric Immunology and Rheumatology Referral Center, First Dept of Pediatrics, Aristotle University, Thessaloniki, Greece</w:t>
      </w:r>
    </w:p>
    <w:p w:rsidR="00A452A6" w:rsidRDefault="00A452A6" w:rsidP="00A452A6">
      <w:pPr>
        <w:jc w:val="both"/>
        <w:rPr>
          <w:b/>
          <w:lang w:val="en-US"/>
        </w:rPr>
      </w:pPr>
    </w:p>
    <w:p w:rsidR="00596088" w:rsidRDefault="00596088" w:rsidP="00A452A6">
      <w:pPr>
        <w:jc w:val="both"/>
        <w:rPr>
          <w:b/>
          <w:lang w:val="en-US"/>
        </w:rPr>
      </w:pPr>
      <w:r>
        <w:rPr>
          <w:b/>
          <w:lang w:val="en-US"/>
        </w:rPr>
        <w:t>Abstract</w:t>
      </w:r>
    </w:p>
    <w:p w:rsidR="00596088" w:rsidRPr="00184AFE" w:rsidRDefault="00CD13FC" w:rsidP="00596088">
      <w:pPr>
        <w:rPr>
          <w:b/>
          <w:lang w:val="en-US"/>
        </w:rPr>
      </w:pPr>
      <w:r w:rsidRPr="00CD13FC">
        <w:rPr>
          <w:lang w:val="en-US"/>
        </w:rPr>
        <w:t>T</w:t>
      </w:r>
      <w:r w:rsidR="00596088" w:rsidRPr="00CD13FC">
        <w:rPr>
          <w:lang w:val="en-US"/>
        </w:rPr>
        <w:t>he</w:t>
      </w:r>
      <w:r w:rsidRPr="00CD13FC">
        <w:rPr>
          <w:lang w:val="en-US"/>
        </w:rPr>
        <w:t xml:space="preserve"> the</w:t>
      </w:r>
      <w:r w:rsidR="00596088" w:rsidRPr="00CD13FC">
        <w:rPr>
          <w:lang w:val="en-US"/>
        </w:rPr>
        <w:t>rapeutic regimens</w:t>
      </w:r>
      <w:r>
        <w:rPr>
          <w:lang w:val="en-US"/>
        </w:rPr>
        <w:t>,</w:t>
      </w:r>
      <w:r w:rsidR="00596088" w:rsidRPr="00CD13FC">
        <w:rPr>
          <w:lang w:val="en-US"/>
        </w:rPr>
        <w:t xml:space="preserve"> recommended by the ACR(2011-2013) for Juvenile idiopathic Arthritis (JIA)</w:t>
      </w:r>
      <w:r>
        <w:rPr>
          <w:lang w:val="en-US"/>
        </w:rPr>
        <w:t>,</w:t>
      </w:r>
      <w:r w:rsidR="00596088" w:rsidRPr="00CD13FC">
        <w:rPr>
          <w:lang w:val="en-US"/>
        </w:rPr>
        <w:t xml:space="preserve"> refer to </w:t>
      </w:r>
      <w:r>
        <w:rPr>
          <w:lang w:val="en-US"/>
        </w:rPr>
        <w:t>“</w:t>
      </w:r>
      <w:r w:rsidR="00596088" w:rsidRPr="00CD13FC">
        <w:rPr>
          <w:lang w:val="en-US"/>
        </w:rPr>
        <w:t>5</w:t>
      </w:r>
      <w:r w:rsidR="00596088" w:rsidRPr="00596088">
        <w:rPr>
          <w:b/>
          <w:lang w:val="en-US"/>
        </w:rPr>
        <w:t xml:space="preserve">  </w:t>
      </w:r>
      <w:r w:rsidR="00596088">
        <w:rPr>
          <w:lang w:val="en-US"/>
        </w:rPr>
        <w:t>treatment</w:t>
      </w:r>
      <w:r w:rsidR="00596088" w:rsidRPr="00596088">
        <w:rPr>
          <w:lang w:val="en-US"/>
        </w:rPr>
        <w:t xml:space="preserve"> </w:t>
      </w:r>
      <w:r w:rsidR="00596088">
        <w:rPr>
          <w:lang w:val="en-US"/>
        </w:rPr>
        <w:t>groups</w:t>
      </w:r>
      <w:r>
        <w:rPr>
          <w:lang w:val="en-US"/>
        </w:rPr>
        <w:t>”</w:t>
      </w:r>
      <w:r w:rsidR="00596088" w:rsidRPr="00596088">
        <w:rPr>
          <w:lang w:val="en-US"/>
        </w:rPr>
        <w:t xml:space="preserve">, </w:t>
      </w:r>
      <w:r w:rsidR="00596088">
        <w:rPr>
          <w:lang w:val="en-US"/>
        </w:rPr>
        <w:t>according to the number and type of  the joints</w:t>
      </w:r>
      <w:r w:rsidR="00596088" w:rsidRPr="00596088">
        <w:rPr>
          <w:lang w:val="en-US"/>
        </w:rPr>
        <w:t xml:space="preserve"> </w:t>
      </w:r>
      <w:r w:rsidR="00596088">
        <w:rPr>
          <w:lang w:val="en-US"/>
        </w:rPr>
        <w:t>affected, the presence or absence  of poor prognostic factors in combination with the physician’s global assessment for the disease activity (</w:t>
      </w:r>
      <w:r w:rsidR="00596088" w:rsidRPr="00596088">
        <w:rPr>
          <w:lang w:val="en-US"/>
        </w:rPr>
        <w:t>MDVAS global)</w:t>
      </w:r>
      <w:r w:rsidR="00596088">
        <w:rPr>
          <w:lang w:val="en-US"/>
        </w:rPr>
        <w:t xml:space="preserve"> and the presence of systemic features. </w:t>
      </w:r>
      <w:r w:rsidR="00596088" w:rsidRPr="00596088">
        <w:rPr>
          <w:lang w:val="en-US"/>
        </w:rPr>
        <w:t xml:space="preserve"> </w:t>
      </w:r>
      <w:r w:rsidR="00596088" w:rsidRPr="00942EFB">
        <w:rPr>
          <w:i/>
          <w:lang w:val="en-US"/>
        </w:rPr>
        <w:t>1</w:t>
      </w:r>
      <w:r w:rsidR="00596088" w:rsidRPr="00942EFB">
        <w:rPr>
          <w:i/>
          <w:vertAlign w:val="superscript"/>
          <w:lang w:val="en-US"/>
        </w:rPr>
        <w:t>st</w:t>
      </w:r>
      <w:r w:rsidR="00596088" w:rsidRPr="00942EFB">
        <w:rPr>
          <w:i/>
          <w:lang w:val="en-US"/>
        </w:rPr>
        <w:t xml:space="preserve"> therapeutic group:</w:t>
      </w:r>
      <w:r w:rsidR="00596088" w:rsidRPr="00596088">
        <w:rPr>
          <w:lang w:val="en-US"/>
        </w:rPr>
        <w:t xml:space="preserve"> </w:t>
      </w:r>
      <w:r w:rsidR="00596088" w:rsidRPr="00596088">
        <w:rPr>
          <w:i/>
          <w:lang w:val="en-US"/>
        </w:rPr>
        <w:t xml:space="preserve">  </w:t>
      </w:r>
      <w:r w:rsidR="00596088" w:rsidRPr="00942EFB">
        <w:rPr>
          <w:lang w:val="en-US"/>
        </w:rPr>
        <w:t>Patients with persistent  oligoarthritis, some with psoriatic, some with enthesitis related arthritis and some with unclassified arthritis</w:t>
      </w:r>
      <w:r w:rsidR="00297880" w:rsidRPr="00942EFB">
        <w:rPr>
          <w:lang w:val="en-US"/>
        </w:rPr>
        <w:t>,</w:t>
      </w:r>
      <w:r w:rsidR="00596088" w:rsidRPr="00942EFB">
        <w:rPr>
          <w:lang w:val="en-US"/>
        </w:rPr>
        <w:t xml:space="preserve"> all of whom had oligoarthritis</w:t>
      </w:r>
      <w:r w:rsidR="00F07087" w:rsidRPr="00942EFB">
        <w:rPr>
          <w:lang w:val="en-US"/>
        </w:rPr>
        <w:t xml:space="preserve"> (&lt;5</w:t>
      </w:r>
      <w:r w:rsidR="00297880" w:rsidRPr="00942EFB">
        <w:rPr>
          <w:lang w:val="en-US"/>
        </w:rPr>
        <w:t xml:space="preserve"> </w:t>
      </w:r>
      <w:r w:rsidR="00F07087" w:rsidRPr="00942EFB">
        <w:rPr>
          <w:lang w:val="en-US"/>
        </w:rPr>
        <w:t xml:space="preserve">joints) </w:t>
      </w:r>
      <w:r w:rsidR="00596088" w:rsidRPr="00942EFB">
        <w:rPr>
          <w:lang w:val="en-US"/>
        </w:rPr>
        <w:t xml:space="preserve"> during the disease course.  </w:t>
      </w:r>
      <w:r w:rsidR="00596088" w:rsidRPr="00942EFB">
        <w:rPr>
          <w:i/>
          <w:lang w:val="en-US"/>
        </w:rPr>
        <w:t>2</w:t>
      </w:r>
      <w:r w:rsidR="00596088" w:rsidRPr="00942EFB">
        <w:rPr>
          <w:i/>
          <w:vertAlign w:val="superscript"/>
          <w:lang w:val="en-US"/>
        </w:rPr>
        <w:t>nd</w:t>
      </w:r>
      <w:r w:rsidR="00596088" w:rsidRPr="00942EFB">
        <w:rPr>
          <w:i/>
          <w:lang w:val="en-US"/>
        </w:rPr>
        <w:t xml:space="preserve">  therapeutic group:</w:t>
      </w:r>
      <w:r w:rsidR="00596088" w:rsidRPr="00942EFB">
        <w:rPr>
          <w:lang w:val="en-US"/>
        </w:rPr>
        <w:t xml:space="preserve"> Patients with polyarthritis, some with psoriatic, some with enthesitis related arthritis and some with unclassified arthritis</w:t>
      </w:r>
      <w:r w:rsidR="00297880" w:rsidRPr="00942EFB">
        <w:rPr>
          <w:lang w:val="en-US"/>
        </w:rPr>
        <w:t>,</w:t>
      </w:r>
      <w:r w:rsidR="00596088" w:rsidRPr="00942EFB">
        <w:rPr>
          <w:lang w:val="en-US"/>
        </w:rPr>
        <w:t xml:space="preserve"> all of whom had </w:t>
      </w:r>
      <w:r w:rsidR="00F07087" w:rsidRPr="00942EFB">
        <w:rPr>
          <w:lang w:val="en-US"/>
        </w:rPr>
        <w:t>polya</w:t>
      </w:r>
      <w:r w:rsidR="00596088" w:rsidRPr="00942EFB">
        <w:rPr>
          <w:lang w:val="en-US"/>
        </w:rPr>
        <w:t>rthritis</w:t>
      </w:r>
      <w:r w:rsidR="00297880" w:rsidRPr="00942EFB">
        <w:rPr>
          <w:lang w:val="en-US"/>
        </w:rPr>
        <w:t xml:space="preserve"> </w:t>
      </w:r>
      <w:r w:rsidR="00F07087" w:rsidRPr="00942EFB">
        <w:rPr>
          <w:lang w:val="en-US"/>
        </w:rPr>
        <w:t xml:space="preserve">(&gt;4 joints)  </w:t>
      </w:r>
      <w:r w:rsidR="00596088" w:rsidRPr="00942EFB">
        <w:rPr>
          <w:lang w:val="en-US"/>
        </w:rPr>
        <w:t xml:space="preserve"> during the disease course.  </w:t>
      </w:r>
      <w:r w:rsidR="00F07087" w:rsidRPr="00942EFB">
        <w:rPr>
          <w:i/>
          <w:lang w:val="en-US"/>
        </w:rPr>
        <w:t>3</w:t>
      </w:r>
      <w:r w:rsidR="00F07087" w:rsidRPr="00942EFB">
        <w:rPr>
          <w:i/>
          <w:vertAlign w:val="superscript"/>
          <w:lang w:val="en-US"/>
        </w:rPr>
        <w:t>rd</w:t>
      </w:r>
      <w:r w:rsidR="00F07087" w:rsidRPr="00942EFB">
        <w:rPr>
          <w:i/>
          <w:lang w:val="en-US"/>
        </w:rPr>
        <w:t xml:space="preserve"> </w:t>
      </w:r>
      <w:r w:rsidR="00596088" w:rsidRPr="00942EFB">
        <w:rPr>
          <w:i/>
          <w:lang w:val="en-US"/>
        </w:rPr>
        <w:t xml:space="preserve"> </w:t>
      </w:r>
      <w:r w:rsidR="00F07087" w:rsidRPr="00942EFB">
        <w:rPr>
          <w:i/>
          <w:lang w:val="en-US"/>
        </w:rPr>
        <w:t>therapeutic group</w:t>
      </w:r>
      <w:r w:rsidR="00596088" w:rsidRPr="00942EFB">
        <w:rPr>
          <w:i/>
          <w:lang w:val="en-US"/>
        </w:rPr>
        <w:t>:</w:t>
      </w:r>
      <w:r w:rsidR="00596088" w:rsidRPr="00942EFB">
        <w:rPr>
          <w:b/>
          <w:lang w:val="en-US"/>
        </w:rPr>
        <w:t xml:space="preserve"> </w:t>
      </w:r>
      <w:r w:rsidR="00F07087" w:rsidRPr="00942EFB">
        <w:rPr>
          <w:lang w:val="en-US"/>
        </w:rPr>
        <w:t xml:space="preserve">Patients with clinical or imaging indications of active  </w:t>
      </w:r>
      <w:r w:rsidR="00555DDC" w:rsidRPr="00942EFB">
        <w:rPr>
          <w:lang w:val="en-US"/>
        </w:rPr>
        <w:t>sacroiliitis</w:t>
      </w:r>
      <w:r w:rsidR="00F07087" w:rsidRPr="00942EFB">
        <w:rPr>
          <w:lang w:val="en-US"/>
        </w:rPr>
        <w:t>, as patients with enthesitis related arthritis or psoriatic arthritis or any other type of arthritis with active sacroil</w:t>
      </w:r>
      <w:r w:rsidR="00555DDC" w:rsidRPr="00942EFB">
        <w:rPr>
          <w:lang w:val="en-US"/>
        </w:rPr>
        <w:t>iac arthritis</w:t>
      </w:r>
      <w:r w:rsidR="00F07087" w:rsidRPr="00942EFB">
        <w:rPr>
          <w:lang w:val="en-US"/>
        </w:rPr>
        <w:t>. The therapeutic</w:t>
      </w:r>
      <w:r w:rsidR="00F07087">
        <w:rPr>
          <w:lang w:val="en-US"/>
        </w:rPr>
        <w:t xml:space="preserve"> strategy is schematically depicted for the first 3 groups. </w:t>
      </w:r>
      <w:r w:rsidR="00F07087" w:rsidRPr="00F07087">
        <w:rPr>
          <w:lang w:val="en-US"/>
        </w:rPr>
        <w:t xml:space="preserve"> </w:t>
      </w:r>
      <w:r w:rsidR="00F07087">
        <w:rPr>
          <w:lang w:val="en-US"/>
        </w:rPr>
        <w:t xml:space="preserve"> The</w:t>
      </w:r>
      <w:r w:rsidR="00F07087" w:rsidRPr="00F07087">
        <w:rPr>
          <w:lang w:val="en-US"/>
        </w:rPr>
        <w:t xml:space="preserve"> </w:t>
      </w:r>
      <w:r w:rsidR="00F07087">
        <w:rPr>
          <w:lang w:val="en-US"/>
        </w:rPr>
        <w:t>therapeutic</w:t>
      </w:r>
      <w:r w:rsidR="00F07087" w:rsidRPr="00F07087">
        <w:rPr>
          <w:lang w:val="en-US"/>
        </w:rPr>
        <w:t xml:space="preserve"> </w:t>
      </w:r>
      <w:r w:rsidR="00F07087">
        <w:rPr>
          <w:lang w:val="en-US"/>
        </w:rPr>
        <w:t>strategy</w:t>
      </w:r>
      <w:r w:rsidR="00F07087" w:rsidRPr="00F07087">
        <w:rPr>
          <w:lang w:val="en-US"/>
        </w:rPr>
        <w:t xml:space="preserve"> </w:t>
      </w:r>
      <w:r w:rsidR="00F07087">
        <w:rPr>
          <w:lang w:val="en-US"/>
        </w:rPr>
        <w:t>for patients belonging to the 4</w:t>
      </w:r>
      <w:r w:rsidR="00F07087" w:rsidRPr="00F07087">
        <w:rPr>
          <w:vertAlign w:val="superscript"/>
          <w:lang w:val="en-US"/>
        </w:rPr>
        <w:t>th</w:t>
      </w:r>
      <w:r w:rsidR="00F07087">
        <w:rPr>
          <w:lang w:val="en-US"/>
        </w:rPr>
        <w:t xml:space="preserve"> and 5</w:t>
      </w:r>
      <w:r w:rsidR="00F07087" w:rsidRPr="00F07087">
        <w:rPr>
          <w:vertAlign w:val="superscript"/>
          <w:lang w:val="en-US"/>
        </w:rPr>
        <w:t>th</w:t>
      </w:r>
      <w:r w:rsidR="00F07087">
        <w:rPr>
          <w:lang w:val="en-US"/>
        </w:rPr>
        <w:t xml:space="preserve"> groups is more complicated and is based on the number of </w:t>
      </w:r>
      <w:r w:rsidR="0044221B">
        <w:rPr>
          <w:lang w:val="en-US"/>
        </w:rPr>
        <w:t>joints</w:t>
      </w:r>
      <w:r w:rsidR="0044221B" w:rsidRPr="00F07087">
        <w:rPr>
          <w:lang w:val="en-US"/>
        </w:rPr>
        <w:t xml:space="preserve"> </w:t>
      </w:r>
      <w:r w:rsidR="00F07087">
        <w:rPr>
          <w:lang w:val="en-US"/>
        </w:rPr>
        <w:t>affected</w:t>
      </w:r>
      <w:r w:rsidR="00596088" w:rsidRPr="00F07087">
        <w:rPr>
          <w:lang w:val="en-US"/>
        </w:rPr>
        <w:t xml:space="preserve"> ( 0=</w:t>
      </w:r>
      <w:r w:rsidR="00F07087">
        <w:rPr>
          <w:lang w:val="en-US"/>
        </w:rPr>
        <w:t>absence of arthritis</w:t>
      </w:r>
      <w:r w:rsidR="00596088" w:rsidRPr="00F07087">
        <w:rPr>
          <w:lang w:val="en-US"/>
        </w:rPr>
        <w:t xml:space="preserve">, ≤4 = </w:t>
      </w:r>
      <w:r w:rsidR="00F07087">
        <w:rPr>
          <w:lang w:val="en-US"/>
        </w:rPr>
        <w:t>oligoarthrits</w:t>
      </w:r>
      <w:r w:rsidR="00596088" w:rsidRPr="00F07087">
        <w:rPr>
          <w:lang w:val="en-US"/>
        </w:rPr>
        <w:t xml:space="preserve">, &gt;4 = </w:t>
      </w:r>
      <w:r w:rsidR="00F07087">
        <w:rPr>
          <w:lang w:val="en-US"/>
        </w:rPr>
        <w:t>polyarthritis</w:t>
      </w:r>
      <w:r w:rsidR="00596088" w:rsidRPr="00F07087">
        <w:rPr>
          <w:lang w:val="en-US"/>
        </w:rPr>
        <w:t xml:space="preserve">), </w:t>
      </w:r>
      <w:r w:rsidR="00F07087">
        <w:rPr>
          <w:lang w:val="en-US"/>
        </w:rPr>
        <w:t>on the level of disease activity (</w:t>
      </w:r>
      <w:r w:rsidR="00596088" w:rsidRPr="00F07087">
        <w:rPr>
          <w:lang w:val="en-US"/>
        </w:rPr>
        <w:t xml:space="preserve">MDVAS global &lt;5 </w:t>
      </w:r>
      <w:r w:rsidR="00596088" w:rsidRPr="00F35ED4">
        <w:t>ή</w:t>
      </w:r>
      <w:r w:rsidR="00596088" w:rsidRPr="00F07087">
        <w:rPr>
          <w:lang w:val="en-US"/>
        </w:rPr>
        <w:t xml:space="preserve"> ≥5) </w:t>
      </w:r>
      <w:r w:rsidR="00F07087">
        <w:rPr>
          <w:lang w:val="en-US"/>
        </w:rPr>
        <w:t xml:space="preserve">and the presence or </w:t>
      </w:r>
      <w:r w:rsidR="00297880">
        <w:rPr>
          <w:lang w:val="en-US"/>
        </w:rPr>
        <w:t>a</w:t>
      </w:r>
      <w:r w:rsidR="00F07087">
        <w:rPr>
          <w:lang w:val="en-US"/>
        </w:rPr>
        <w:t>bsence of systemic</w:t>
      </w:r>
      <w:r w:rsidR="00596088" w:rsidRPr="00F07087">
        <w:rPr>
          <w:lang w:val="en-US"/>
        </w:rPr>
        <w:t xml:space="preserve"> </w:t>
      </w:r>
      <w:r w:rsidR="00F07087">
        <w:rPr>
          <w:lang w:val="en-US"/>
        </w:rPr>
        <w:t>features. Thus</w:t>
      </w:r>
      <w:r w:rsidR="00F07087" w:rsidRPr="00555DDC">
        <w:rPr>
          <w:lang w:val="en-US"/>
        </w:rPr>
        <w:t xml:space="preserve">, </w:t>
      </w:r>
      <w:r w:rsidR="00596088" w:rsidRPr="00555DDC">
        <w:rPr>
          <w:lang w:val="en-US"/>
        </w:rPr>
        <w:t xml:space="preserve">  </w:t>
      </w:r>
      <w:r w:rsidR="00F07087">
        <w:rPr>
          <w:lang w:val="en-US"/>
        </w:rPr>
        <w:t>the</w:t>
      </w:r>
      <w:r w:rsidR="00F07087" w:rsidRPr="00555DDC">
        <w:rPr>
          <w:lang w:val="en-US"/>
        </w:rPr>
        <w:t xml:space="preserve"> </w:t>
      </w:r>
      <w:r w:rsidR="00F07087">
        <w:rPr>
          <w:lang w:val="en-US"/>
        </w:rPr>
        <w:t>systemic</w:t>
      </w:r>
      <w:r w:rsidR="00F07087" w:rsidRPr="00555DDC">
        <w:rPr>
          <w:lang w:val="en-US"/>
        </w:rPr>
        <w:t xml:space="preserve"> </w:t>
      </w:r>
      <w:r w:rsidR="00F07087">
        <w:rPr>
          <w:lang w:val="en-US"/>
        </w:rPr>
        <w:t>JIA</w:t>
      </w:r>
      <w:r w:rsidR="00F07087" w:rsidRPr="00555DDC">
        <w:rPr>
          <w:lang w:val="en-US"/>
        </w:rPr>
        <w:t xml:space="preserve"> </w:t>
      </w:r>
      <w:r w:rsidR="00F07087">
        <w:rPr>
          <w:lang w:val="en-US"/>
        </w:rPr>
        <w:t>therapeutic</w:t>
      </w:r>
      <w:r w:rsidR="00F07087" w:rsidRPr="00555DDC">
        <w:rPr>
          <w:lang w:val="en-US"/>
        </w:rPr>
        <w:t xml:space="preserve"> </w:t>
      </w:r>
      <w:r w:rsidR="00F07087">
        <w:rPr>
          <w:lang w:val="en-US"/>
        </w:rPr>
        <w:t>groups</w:t>
      </w:r>
      <w:r w:rsidR="00F07087" w:rsidRPr="00555DDC">
        <w:rPr>
          <w:lang w:val="en-US"/>
        </w:rPr>
        <w:t xml:space="preserve"> </w:t>
      </w:r>
      <w:r w:rsidR="00F07087">
        <w:rPr>
          <w:lang w:val="en-US"/>
        </w:rPr>
        <w:t>are</w:t>
      </w:r>
      <w:r w:rsidR="00F07087" w:rsidRPr="00555DDC">
        <w:rPr>
          <w:lang w:val="en-US"/>
        </w:rPr>
        <w:t xml:space="preserve">  </w:t>
      </w:r>
      <w:r w:rsidR="00F07087">
        <w:rPr>
          <w:lang w:val="en-US"/>
        </w:rPr>
        <w:t>discriminated</w:t>
      </w:r>
      <w:r w:rsidR="00F07087" w:rsidRPr="00555DDC">
        <w:rPr>
          <w:lang w:val="en-US"/>
        </w:rPr>
        <w:t xml:space="preserve"> </w:t>
      </w:r>
      <w:r w:rsidR="00F07087">
        <w:rPr>
          <w:lang w:val="en-US"/>
        </w:rPr>
        <w:t>in</w:t>
      </w:r>
      <w:r w:rsidR="00F07087" w:rsidRPr="00555DDC">
        <w:rPr>
          <w:lang w:val="en-US"/>
        </w:rPr>
        <w:t xml:space="preserve"> </w:t>
      </w:r>
      <w:r w:rsidR="00297880">
        <w:rPr>
          <w:lang w:val="en-US"/>
        </w:rPr>
        <w:t>“s</w:t>
      </w:r>
      <w:r w:rsidR="00F07087">
        <w:rPr>
          <w:lang w:val="en-US"/>
        </w:rPr>
        <w:t>ystemic</w:t>
      </w:r>
      <w:r w:rsidR="00F07087" w:rsidRPr="00555DDC">
        <w:rPr>
          <w:lang w:val="en-US"/>
        </w:rPr>
        <w:t xml:space="preserve"> </w:t>
      </w:r>
      <w:r w:rsidR="00F07087">
        <w:rPr>
          <w:lang w:val="en-US"/>
        </w:rPr>
        <w:t>JIA</w:t>
      </w:r>
      <w:r w:rsidR="00F07087" w:rsidRPr="00555DDC">
        <w:rPr>
          <w:lang w:val="en-US"/>
        </w:rPr>
        <w:t xml:space="preserve"> </w:t>
      </w:r>
      <w:r w:rsidR="00F07087">
        <w:rPr>
          <w:lang w:val="en-US"/>
        </w:rPr>
        <w:t>with</w:t>
      </w:r>
      <w:r w:rsidR="00F07087" w:rsidRPr="00555DDC">
        <w:rPr>
          <w:lang w:val="en-US"/>
        </w:rPr>
        <w:t xml:space="preserve"> </w:t>
      </w:r>
      <w:r w:rsidR="00F07087">
        <w:rPr>
          <w:lang w:val="en-US"/>
        </w:rPr>
        <w:t>active</w:t>
      </w:r>
      <w:r w:rsidR="00F07087" w:rsidRPr="00555DDC">
        <w:rPr>
          <w:lang w:val="en-US"/>
        </w:rPr>
        <w:t xml:space="preserve"> </w:t>
      </w:r>
      <w:r w:rsidR="00F07087">
        <w:rPr>
          <w:lang w:val="en-US"/>
        </w:rPr>
        <w:t>systemic</w:t>
      </w:r>
      <w:r w:rsidR="00F07087" w:rsidRPr="00555DDC">
        <w:rPr>
          <w:lang w:val="en-US"/>
        </w:rPr>
        <w:t xml:space="preserve"> </w:t>
      </w:r>
      <w:r w:rsidR="00F07087">
        <w:rPr>
          <w:lang w:val="en-US"/>
        </w:rPr>
        <w:t>features</w:t>
      </w:r>
      <w:r w:rsidR="00F07087" w:rsidRPr="00555DDC">
        <w:rPr>
          <w:lang w:val="en-US"/>
        </w:rPr>
        <w:t xml:space="preserve"> </w:t>
      </w:r>
      <w:r w:rsidR="00F07087">
        <w:rPr>
          <w:lang w:val="en-US"/>
        </w:rPr>
        <w:t>and</w:t>
      </w:r>
      <w:r w:rsidR="00F07087" w:rsidRPr="00555DDC">
        <w:rPr>
          <w:lang w:val="en-US"/>
        </w:rPr>
        <w:t xml:space="preserve"> </w:t>
      </w:r>
      <w:r w:rsidR="00596088" w:rsidRPr="00555DDC">
        <w:rPr>
          <w:lang w:val="en-US"/>
        </w:rPr>
        <w:t xml:space="preserve"> </w:t>
      </w:r>
      <w:r w:rsidR="00F07087">
        <w:rPr>
          <w:lang w:val="en-US"/>
        </w:rPr>
        <w:t>var</w:t>
      </w:r>
      <w:r w:rsidR="00555DDC">
        <w:rPr>
          <w:lang w:val="en-US"/>
        </w:rPr>
        <w:t>ying degrees of synovitis</w:t>
      </w:r>
      <w:r w:rsidR="00F07087" w:rsidRPr="00555DDC">
        <w:rPr>
          <w:lang w:val="en-US"/>
        </w:rPr>
        <w:t xml:space="preserve"> </w:t>
      </w:r>
      <w:r w:rsidR="00596088" w:rsidRPr="00555DDC">
        <w:rPr>
          <w:i/>
          <w:lang w:val="en-US"/>
        </w:rPr>
        <w:t>(</w:t>
      </w:r>
      <w:r w:rsidR="00555DDC">
        <w:rPr>
          <w:i/>
          <w:lang w:val="en-US"/>
        </w:rPr>
        <w:t>4</w:t>
      </w:r>
      <w:r w:rsidR="00555DDC" w:rsidRPr="00555DDC">
        <w:rPr>
          <w:i/>
          <w:vertAlign w:val="superscript"/>
          <w:lang w:val="en-US"/>
        </w:rPr>
        <w:t>th</w:t>
      </w:r>
      <w:r w:rsidR="00555DDC">
        <w:rPr>
          <w:i/>
          <w:lang w:val="en-US"/>
        </w:rPr>
        <w:t xml:space="preserve"> group</w:t>
      </w:r>
      <w:r w:rsidR="00297880">
        <w:rPr>
          <w:i/>
          <w:lang w:val="en-US"/>
        </w:rPr>
        <w:t>)”</w:t>
      </w:r>
      <w:r w:rsidR="00555DDC" w:rsidRPr="00555DDC">
        <w:rPr>
          <w:lang w:val="en-US"/>
        </w:rPr>
        <w:t xml:space="preserve"> </w:t>
      </w:r>
      <w:r w:rsidR="00555DDC">
        <w:rPr>
          <w:lang w:val="en-US"/>
        </w:rPr>
        <w:t>and</w:t>
      </w:r>
      <w:r w:rsidR="00387EFD">
        <w:rPr>
          <w:lang w:val="en-US"/>
        </w:rPr>
        <w:t xml:space="preserve"> in</w:t>
      </w:r>
      <w:r w:rsidR="00555DDC">
        <w:rPr>
          <w:lang w:val="en-US"/>
        </w:rPr>
        <w:t xml:space="preserve"> </w:t>
      </w:r>
      <w:r w:rsidR="00387EFD">
        <w:rPr>
          <w:lang w:val="en-US"/>
        </w:rPr>
        <w:t>“s</w:t>
      </w:r>
      <w:r w:rsidR="00555DDC">
        <w:rPr>
          <w:lang w:val="en-US"/>
        </w:rPr>
        <w:t>ystemic</w:t>
      </w:r>
      <w:r w:rsidR="00555DDC" w:rsidRPr="00555DDC">
        <w:rPr>
          <w:lang w:val="en-US"/>
        </w:rPr>
        <w:t xml:space="preserve"> </w:t>
      </w:r>
      <w:r w:rsidR="00555DDC">
        <w:rPr>
          <w:lang w:val="en-US"/>
        </w:rPr>
        <w:t>JIA</w:t>
      </w:r>
      <w:r w:rsidR="00555DDC" w:rsidRPr="00555DDC">
        <w:rPr>
          <w:lang w:val="en-US"/>
        </w:rPr>
        <w:t xml:space="preserve"> </w:t>
      </w:r>
      <w:r w:rsidR="00555DDC">
        <w:rPr>
          <w:lang w:val="en-US"/>
        </w:rPr>
        <w:t>without</w:t>
      </w:r>
      <w:r w:rsidR="00555DDC" w:rsidRPr="00555DDC">
        <w:rPr>
          <w:lang w:val="en-US"/>
        </w:rPr>
        <w:t xml:space="preserve"> </w:t>
      </w:r>
      <w:r w:rsidR="00555DDC">
        <w:rPr>
          <w:lang w:val="en-US"/>
        </w:rPr>
        <w:t>active</w:t>
      </w:r>
      <w:r w:rsidR="00555DDC" w:rsidRPr="00555DDC">
        <w:rPr>
          <w:lang w:val="en-US"/>
        </w:rPr>
        <w:t xml:space="preserve"> </w:t>
      </w:r>
      <w:r w:rsidR="00555DDC">
        <w:rPr>
          <w:lang w:val="en-US"/>
        </w:rPr>
        <w:t>systemic</w:t>
      </w:r>
      <w:r w:rsidR="00555DDC" w:rsidRPr="00555DDC">
        <w:rPr>
          <w:lang w:val="en-US"/>
        </w:rPr>
        <w:t xml:space="preserve"> </w:t>
      </w:r>
      <w:r w:rsidR="00555DDC">
        <w:rPr>
          <w:lang w:val="en-US"/>
        </w:rPr>
        <w:t>features</w:t>
      </w:r>
      <w:r w:rsidR="00555DDC" w:rsidRPr="00555DDC">
        <w:rPr>
          <w:lang w:val="en-US"/>
        </w:rPr>
        <w:t xml:space="preserve"> </w:t>
      </w:r>
      <w:r w:rsidR="00555DDC">
        <w:rPr>
          <w:lang w:val="en-US"/>
        </w:rPr>
        <w:t>and</w:t>
      </w:r>
      <w:r w:rsidR="00555DDC" w:rsidRPr="00555DDC">
        <w:rPr>
          <w:lang w:val="en-US"/>
        </w:rPr>
        <w:t xml:space="preserve">  </w:t>
      </w:r>
      <w:r w:rsidR="00555DDC">
        <w:rPr>
          <w:lang w:val="en-US"/>
        </w:rPr>
        <w:t>varying degrees of synovitis</w:t>
      </w:r>
      <w:r w:rsidR="00555DDC" w:rsidRPr="00555DDC">
        <w:rPr>
          <w:lang w:val="en-US"/>
        </w:rPr>
        <w:t xml:space="preserve"> </w:t>
      </w:r>
      <w:r w:rsidR="00596088" w:rsidRPr="00555DDC">
        <w:rPr>
          <w:i/>
          <w:lang w:val="en-US"/>
        </w:rPr>
        <w:t>(</w:t>
      </w:r>
      <w:r w:rsidR="00555DDC">
        <w:rPr>
          <w:i/>
          <w:lang w:val="en-US"/>
        </w:rPr>
        <w:t>5</w:t>
      </w:r>
      <w:r w:rsidR="00555DDC" w:rsidRPr="00555DDC">
        <w:rPr>
          <w:i/>
          <w:vertAlign w:val="superscript"/>
          <w:lang w:val="en-US"/>
        </w:rPr>
        <w:t>th</w:t>
      </w:r>
      <w:r w:rsidR="00555DDC">
        <w:rPr>
          <w:i/>
          <w:lang w:val="en-US"/>
        </w:rPr>
        <w:t xml:space="preserve"> group</w:t>
      </w:r>
      <w:r w:rsidR="00596088" w:rsidRPr="00555DDC">
        <w:rPr>
          <w:i/>
          <w:lang w:val="en-US"/>
        </w:rPr>
        <w:t>)</w:t>
      </w:r>
      <w:r w:rsidR="00387EFD">
        <w:rPr>
          <w:i/>
          <w:lang w:val="en-US"/>
        </w:rPr>
        <w:t>”</w:t>
      </w:r>
      <w:r w:rsidR="00596088" w:rsidRPr="00555DDC">
        <w:rPr>
          <w:i/>
          <w:lang w:val="en-US"/>
        </w:rPr>
        <w:t xml:space="preserve">. </w:t>
      </w:r>
      <w:r w:rsidR="00297880" w:rsidRPr="00F55F2A">
        <w:rPr>
          <w:lang w:val="en-US"/>
        </w:rPr>
        <w:t>For the</w:t>
      </w:r>
      <w:r w:rsidR="00297880">
        <w:rPr>
          <w:i/>
          <w:lang w:val="en-US"/>
        </w:rPr>
        <w:t xml:space="preserve"> </w:t>
      </w:r>
      <w:r w:rsidR="00555DDC" w:rsidRPr="009C43EA">
        <w:rPr>
          <w:i/>
          <w:lang w:val="en-US"/>
        </w:rPr>
        <w:t>4</w:t>
      </w:r>
      <w:r w:rsidR="00555DDC" w:rsidRPr="00555DDC">
        <w:rPr>
          <w:i/>
          <w:vertAlign w:val="superscript"/>
          <w:lang w:val="en-US"/>
        </w:rPr>
        <w:t>th</w:t>
      </w:r>
      <w:r w:rsidR="00555DDC" w:rsidRPr="009C43EA">
        <w:rPr>
          <w:i/>
          <w:lang w:val="en-US"/>
        </w:rPr>
        <w:t xml:space="preserve"> </w:t>
      </w:r>
      <w:r w:rsidR="00555DDC">
        <w:rPr>
          <w:i/>
          <w:lang w:val="en-US"/>
        </w:rPr>
        <w:t>therapeutic</w:t>
      </w:r>
      <w:r w:rsidR="00555DDC" w:rsidRPr="009C43EA">
        <w:rPr>
          <w:i/>
          <w:lang w:val="en-US"/>
        </w:rPr>
        <w:t xml:space="preserve"> </w:t>
      </w:r>
      <w:r w:rsidR="00555DDC">
        <w:rPr>
          <w:i/>
          <w:lang w:val="en-US"/>
        </w:rPr>
        <w:t>group</w:t>
      </w:r>
      <w:r w:rsidR="00555DDC" w:rsidRPr="009C43EA">
        <w:rPr>
          <w:i/>
          <w:lang w:val="en-US"/>
        </w:rPr>
        <w:t xml:space="preserve"> : </w:t>
      </w:r>
      <w:r w:rsidR="00555DDC" w:rsidRPr="00297880">
        <w:rPr>
          <w:lang w:val="en-US"/>
        </w:rPr>
        <w:t xml:space="preserve">Initial </w:t>
      </w:r>
      <w:r w:rsidR="009C43EA" w:rsidRPr="00297880">
        <w:rPr>
          <w:lang w:val="en-US"/>
        </w:rPr>
        <w:t xml:space="preserve">treatment with CS with or without NSAIDs; in </w:t>
      </w:r>
      <w:r w:rsidR="00387EFD">
        <w:rPr>
          <w:lang w:val="en-US"/>
        </w:rPr>
        <w:t xml:space="preserve">case of </w:t>
      </w:r>
      <w:r w:rsidR="009C43EA" w:rsidRPr="00297880">
        <w:rPr>
          <w:lang w:val="en-US"/>
        </w:rPr>
        <w:t>non</w:t>
      </w:r>
      <w:r w:rsidR="00F55F2A">
        <w:rPr>
          <w:lang w:val="en-US"/>
        </w:rPr>
        <w:t>-</w:t>
      </w:r>
      <w:r w:rsidR="009C43EA" w:rsidRPr="00297880">
        <w:rPr>
          <w:lang w:val="en-US"/>
        </w:rPr>
        <w:t>response within 2 weeks</w:t>
      </w:r>
      <w:r w:rsidR="00387EFD">
        <w:rPr>
          <w:lang w:val="en-US"/>
        </w:rPr>
        <w:t>,</w:t>
      </w:r>
      <w:r w:rsidR="009C43EA" w:rsidRPr="00297880">
        <w:rPr>
          <w:lang w:val="en-US"/>
        </w:rPr>
        <w:t xml:space="preserve"> synthetic or biologic DMARDs are  administered</w:t>
      </w:r>
      <w:r w:rsidR="00387EFD">
        <w:rPr>
          <w:lang w:val="en-US"/>
        </w:rPr>
        <w:t>,</w:t>
      </w:r>
      <w:r w:rsidR="009C43EA" w:rsidRPr="00297880">
        <w:rPr>
          <w:lang w:val="en-US"/>
        </w:rPr>
        <w:t xml:space="preserve"> based on the </w:t>
      </w:r>
      <w:r w:rsidR="00387EFD" w:rsidRPr="00297880">
        <w:rPr>
          <w:lang w:val="en-US"/>
        </w:rPr>
        <w:t xml:space="preserve">criteria </w:t>
      </w:r>
      <w:r w:rsidR="009C43EA" w:rsidRPr="00297880">
        <w:rPr>
          <w:lang w:val="en-US"/>
        </w:rPr>
        <w:t>a</w:t>
      </w:r>
      <w:r w:rsidR="00387EFD">
        <w:rPr>
          <w:lang w:val="en-US"/>
        </w:rPr>
        <w:t>f</w:t>
      </w:r>
      <w:r w:rsidR="009C43EA" w:rsidRPr="00297880">
        <w:rPr>
          <w:lang w:val="en-US"/>
        </w:rPr>
        <w:t>o</w:t>
      </w:r>
      <w:r w:rsidR="00387EFD">
        <w:rPr>
          <w:lang w:val="en-US"/>
        </w:rPr>
        <w:t>r</w:t>
      </w:r>
      <w:r w:rsidR="009C43EA" w:rsidRPr="00297880">
        <w:rPr>
          <w:lang w:val="en-US"/>
        </w:rPr>
        <w:t>ementioned; in case of predominant systemic features</w:t>
      </w:r>
      <w:r w:rsidR="00387EFD">
        <w:rPr>
          <w:lang w:val="en-US"/>
        </w:rPr>
        <w:t>,</w:t>
      </w:r>
      <w:r w:rsidR="009C43EA" w:rsidRPr="00297880">
        <w:rPr>
          <w:lang w:val="en-US"/>
        </w:rPr>
        <w:t xml:space="preserve"> </w:t>
      </w:r>
      <w:r w:rsidR="00387EFD">
        <w:rPr>
          <w:lang w:val="en-US"/>
        </w:rPr>
        <w:t xml:space="preserve">initial treatment with </w:t>
      </w:r>
      <w:r w:rsidR="00596088" w:rsidRPr="00297880">
        <w:rPr>
          <w:lang w:val="en-US"/>
        </w:rPr>
        <w:t xml:space="preserve">anti-IL-1 </w:t>
      </w:r>
      <w:r w:rsidR="009C43EA" w:rsidRPr="00297880">
        <w:rPr>
          <w:lang w:val="en-US"/>
        </w:rPr>
        <w:t xml:space="preserve"> or </w:t>
      </w:r>
      <w:r w:rsidR="00596088" w:rsidRPr="00297880">
        <w:rPr>
          <w:lang w:val="en-US"/>
        </w:rPr>
        <w:t xml:space="preserve">  anti- IL-6</w:t>
      </w:r>
      <w:r w:rsidR="00387EFD">
        <w:rPr>
          <w:lang w:val="en-US"/>
        </w:rPr>
        <w:t xml:space="preserve"> and </w:t>
      </w:r>
      <w:r w:rsidR="009C43EA" w:rsidRPr="00297880">
        <w:rPr>
          <w:lang w:val="en-US"/>
        </w:rPr>
        <w:t>in case of predominant polyarthritis,</w:t>
      </w:r>
      <w:r w:rsidR="00596088" w:rsidRPr="009C43EA">
        <w:rPr>
          <w:lang w:val="en-US"/>
        </w:rPr>
        <w:t xml:space="preserve"> </w:t>
      </w:r>
      <w:r w:rsidR="009C43EA">
        <w:rPr>
          <w:lang w:val="en-US"/>
        </w:rPr>
        <w:t>synthetic</w:t>
      </w:r>
      <w:r w:rsidR="00596088" w:rsidRPr="009C43EA">
        <w:rPr>
          <w:lang w:val="en-US"/>
        </w:rPr>
        <w:t xml:space="preserve"> </w:t>
      </w:r>
      <w:r w:rsidR="00596088" w:rsidRPr="00F35ED4">
        <w:rPr>
          <w:lang w:val="en-US"/>
        </w:rPr>
        <w:t>DMARDs</w:t>
      </w:r>
      <w:r w:rsidR="00596088" w:rsidRPr="009C43EA">
        <w:rPr>
          <w:lang w:val="en-US"/>
        </w:rPr>
        <w:t xml:space="preserve"> </w:t>
      </w:r>
      <w:r w:rsidR="009C43EA">
        <w:rPr>
          <w:lang w:val="en-US"/>
        </w:rPr>
        <w:t>followed by</w:t>
      </w:r>
      <w:r w:rsidR="00596088" w:rsidRPr="009C43EA">
        <w:rPr>
          <w:lang w:val="en-US"/>
        </w:rPr>
        <w:t xml:space="preserve"> </w:t>
      </w:r>
      <w:r w:rsidR="00596088" w:rsidRPr="00F35ED4">
        <w:rPr>
          <w:lang w:val="en-US"/>
        </w:rPr>
        <w:t>anti</w:t>
      </w:r>
      <w:r w:rsidR="00596088" w:rsidRPr="009C43EA">
        <w:rPr>
          <w:lang w:val="en-US"/>
        </w:rPr>
        <w:t>-</w:t>
      </w:r>
      <w:r w:rsidR="00596088" w:rsidRPr="00F35ED4">
        <w:rPr>
          <w:lang w:val="en-US"/>
        </w:rPr>
        <w:t>TNF</w:t>
      </w:r>
      <w:r w:rsidR="009C43EA">
        <w:rPr>
          <w:lang w:val="en-US"/>
        </w:rPr>
        <w:t>s</w:t>
      </w:r>
      <w:r w:rsidR="00387EFD" w:rsidRPr="00387EFD">
        <w:rPr>
          <w:lang w:val="en-US"/>
        </w:rPr>
        <w:t xml:space="preserve"> </w:t>
      </w:r>
      <w:r w:rsidR="00387EFD">
        <w:rPr>
          <w:lang w:val="en-US"/>
        </w:rPr>
        <w:t>is recommended</w:t>
      </w:r>
      <w:r w:rsidR="00596088" w:rsidRPr="009C43EA">
        <w:rPr>
          <w:lang w:val="en-US"/>
        </w:rPr>
        <w:t xml:space="preserve">. </w:t>
      </w:r>
      <w:r w:rsidR="009C43EA">
        <w:rPr>
          <w:lang w:val="en-US"/>
        </w:rPr>
        <w:t xml:space="preserve"> The patient</w:t>
      </w:r>
      <w:r w:rsidR="00F55F2A">
        <w:rPr>
          <w:lang w:val="en-US"/>
        </w:rPr>
        <w:t>’s response</w:t>
      </w:r>
      <w:r w:rsidR="009C43EA">
        <w:rPr>
          <w:lang w:val="en-US"/>
        </w:rPr>
        <w:t xml:space="preserve"> will determine the continuation of the regimen</w:t>
      </w:r>
      <w:r w:rsidR="00596088" w:rsidRPr="009C43EA">
        <w:rPr>
          <w:i/>
          <w:lang w:val="en-US"/>
        </w:rPr>
        <w:t xml:space="preserve">. </w:t>
      </w:r>
      <w:r w:rsidR="0044221B" w:rsidRPr="00F55F2A">
        <w:rPr>
          <w:lang w:val="en-US"/>
        </w:rPr>
        <w:t>For</w:t>
      </w:r>
      <w:r w:rsidR="0044221B">
        <w:rPr>
          <w:i/>
          <w:lang w:val="en-US"/>
        </w:rPr>
        <w:t xml:space="preserve"> </w:t>
      </w:r>
      <w:r w:rsidR="0044221B" w:rsidRPr="00F55F2A">
        <w:rPr>
          <w:lang w:val="en-US"/>
        </w:rPr>
        <w:t>the</w:t>
      </w:r>
      <w:r w:rsidR="0044221B">
        <w:rPr>
          <w:i/>
          <w:lang w:val="en-US"/>
        </w:rPr>
        <w:t xml:space="preserve"> </w:t>
      </w:r>
      <w:r w:rsidR="009C43EA" w:rsidRPr="009C43EA">
        <w:rPr>
          <w:i/>
          <w:lang w:val="en-US"/>
        </w:rPr>
        <w:t>5</w:t>
      </w:r>
      <w:r w:rsidR="009C43EA" w:rsidRPr="009C43EA">
        <w:rPr>
          <w:i/>
          <w:vertAlign w:val="superscript"/>
          <w:lang w:val="en-US"/>
        </w:rPr>
        <w:t>th</w:t>
      </w:r>
      <w:r w:rsidR="009C43EA" w:rsidRPr="009C43EA">
        <w:rPr>
          <w:i/>
          <w:lang w:val="en-US"/>
        </w:rPr>
        <w:t xml:space="preserve"> </w:t>
      </w:r>
      <w:r w:rsidR="009C43EA">
        <w:rPr>
          <w:i/>
          <w:lang w:val="en-US"/>
        </w:rPr>
        <w:t>therapeutic</w:t>
      </w:r>
      <w:r w:rsidR="009C43EA" w:rsidRPr="009C43EA">
        <w:rPr>
          <w:i/>
          <w:lang w:val="en-US"/>
        </w:rPr>
        <w:t xml:space="preserve"> </w:t>
      </w:r>
      <w:r w:rsidR="009C43EA">
        <w:rPr>
          <w:i/>
          <w:lang w:val="en-US"/>
        </w:rPr>
        <w:t>group</w:t>
      </w:r>
      <w:r w:rsidR="00596088" w:rsidRPr="009C43EA">
        <w:rPr>
          <w:i/>
          <w:lang w:val="en-US"/>
        </w:rPr>
        <w:t>:</w:t>
      </w:r>
      <w:r w:rsidR="00596088" w:rsidRPr="009C43EA">
        <w:rPr>
          <w:b/>
          <w:lang w:val="en-US"/>
        </w:rPr>
        <w:t xml:space="preserve"> </w:t>
      </w:r>
      <w:r w:rsidR="009C43EA" w:rsidRPr="00F55F2A">
        <w:rPr>
          <w:lang w:val="en-US"/>
        </w:rPr>
        <w:t xml:space="preserve">Initial treatment with NSAIDs and intra-articular steroids; in </w:t>
      </w:r>
      <w:r w:rsidR="0044221B" w:rsidRPr="00F55F2A">
        <w:rPr>
          <w:lang w:val="en-US"/>
        </w:rPr>
        <w:t xml:space="preserve">case of </w:t>
      </w:r>
      <w:r w:rsidR="009C43EA" w:rsidRPr="00F55F2A">
        <w:rPr>
          <w:lang w:val="en-US"/>
        </w:rPr>
        <w:t>non-response within 1 month</w:t>
      </w:r>
      <w:r w:rsidR="0044221B" w:rsidRPr="00F55F2A">
        <w:rPr>
          <w:lang w:val="en-US"/>
        </w:rPr>
        <w:t>,</w:t>
      </w:r>
      <w:r w:rsidR="00F55F2A">
        <w:rPr>
          <w:lang w:val="en-US"/>
        </w:rPr>
        <w:t xml:space="preserve"> </w:t>
      </w:r>
      <w:r w:rsidR="009C43EA" w:rsidRPr="00F55F2A">
        <w:rPr>
          <w:lang w:val="en-US"/>
        </w:rPr>
        <w:t xml:space="preserve">synthetic or biologic DMARDs are  administered based on the number of joints affected </w:t>
      </w:r>
      <w:r w:rsidR="0044221B" w:rsidRPr="00F55F2A">
        <w:rPr>
          <w:lang w:val="en-US"/>
        </w:rPr>
        <w:t>(</w:t>
      </w:r>
      <w:r w:rsidR="009C43EA" w:rsidRPr="00F55F2A">
        <w:rPr>
          <w:lang w:val="en-US"/>
        </w:rPr>
        <w:t>1-4</w:t>
      </w:r>
      <w:r w:rsidR="0044221B" w:rsidRPr="00F55F2A">
        <w:rPr>
          <w:lang w:val="en-US"/>
        </w:rPr>
        <w:t xml:space="preserve"> or </w:t>
      </w:r>
      <w:r w:rsidR="009C43EA" w:rsidRPr="00F55F2A">
        <w:rPr>
          <w:lang w:val="en-US"/>
        </w:rPr>
        <w:t xml:space="preserve"> &gt;4</w:t>
      </w:r>
      <w:r w:rsidR="0044221B" w:rsidRPr="00F55F2A">
        <w:rPr>
          <w:lang w:val="en-US"/>
        </w:rPr>
        <w:t>)</w:t>
      </w:r>
      <w:r w:rsidR="009C43EA" w:rsidRPr="00F55F2A">
        <w:rPr>
          <w:lang w:val="en-US"/>
        </w:rPr>
        <w:t xml:space="preserve">. Thus, in oligoarthritis ,  synthetic </w:t>
      </w:r>
      <w:r w:rsidR="00596088" w:rsidRPr="00F55F2A">
        <w:rPr>
          <w:lang w:val="en-US"/>
        </w:rPr>
        <w:t xml:space="preserve"> DMARDs</w:t>
      </w:r>
      <w:r w:rsidR="009C43EA" w:rsidRPr="00F55F2A">
        <w:rPr>
          <w:lang w:val="en-US"/>
        </w:rPr>
        <w:t xml:space="preserve"> </w:t>
      </w:r>
      <w:r w:rsidR="0044221B" w:rsidRPr="00F55F2A">
        <w:rPr>
          <w:lang w:val="en-US"/>
        </w:rPr>
        <w:t xml:space="preserve">first, followed by  biologic ones </w:t>
      </w:r>
      <w:r w:rsidR="00252D6F" w:rsidRPr="00F55F2A">
        <w:rPr>
          <w:lang w:val="en-US"/>
        </w:rPr>
        <w:t>in case of non-response  within</w:t>
      </w:r>
      <w:r w:rsidR="00252D6F">
        <w:rPr>
          <w:lang w:val="en-US"/>
        </w:rPr>
        <w:t xml:space="preserve"> 3 months</w:t>
      </w:r>
      <w:r w:rsidR="00F55F2A">
        <w:rPr>
          <w:lang w:val="en-US"/>
        </w:rPr>
        <w:t>,</w:t>
      </w:r>
      <w:r w:rsidR="00F55F2A" w:rsidRPr="00F55F2A">
        <w:rPr>
          <w:lang w:val="en-US"/>
        </w:rPr>
        <w:t xml:space="preserve"> are administered</w:t>
      </w:r>
      <w:r w:rsidR="0044221B">
        <w:rPr>
          <w:lang w:val="en-US"/>
        </w:rPr>
        <w:t>;</w:t>
      </w:r>
      <w:r w:rsidR="009C43EA">
        <w:rPr>
          <w:lang w:val="en-US"/>
        </w:rPr>
        <w:t xml:space="preserve"> </w:t>
      </w:r>
      <w:r w:rsidR="0044221B">
        <w:rPr>
          <w:lang w:val="en-US"/>
        </w:rPr>
        <w:t>i</w:t>
      </w:r>
      <w:r w:rsidR="009C43EA">
        <w:rPr>
          <w:lang w:val="en-US"/>
        </w:rPr>
        <w:t>n polyarthritis</w:t>
      </w:r>
      <w:r w:rsidR="0044221B">
        <w:rPr>
          <w:lang w:val="en-US"/>
        </w:rPr>
        <w:t>,</w:t>
      </w:r>
      <w:r w:rsidR="009C43EA">
        <w:rPr>
          <w:lang w:val="en-US"/>
        </w:rPr>
        <w:t xml:space="preserve"> </w:t>
      </w:r>
      <w:r w:rsidR="00596088" w:rsidRPr="009C43EA">
        <w:rPr>
          <w:lang w:val="en-US"/>
        </w:rPr>
        <w:t xml:space="preserve"> </w:t>
      </w:r>
      <w:r w:rsidR="009C43EA">
        <w:rPr>
          <w:lang w:val="en-US"/>
        </w:rPr>
        <w:t xml:space="preserve">biologic </w:t>
      </w:r>
      <w:r w:rsidR="00686D31" w:rsidRPr="00F35ED4">
        <w:rPr>
          <w:lang w:val="en-US"/>
        </w:rPr>
        <w:t>DMARDs</w:t>
      </w:r>
      <w:r w:rsidR="00686D31">
        <w:rPr>
          <w:lang w:val="en-US"/>
        </w:rPr>
        <w:t xml:space="preserve"> </w:t>
      </w:r>
      <w:r w:rsidR="009C43EA">
        <w:rPr>
          <w:lang w:val="en-US"/>
        </w:rPr>
        <w:t>are administered</w:t>
      </w:r>
      <w:r w:rsidR="00596088" w:rsidRPr="009C43EA">
        <w:rPr>
          <w:lang w:val="en-US"/>
        </w:rPr>
        <w:t xml:space="preserve">. </w:t>
      </w:r>
      <w:r w:rsidR="00252D6F">
        <w:rPr>
          <w:lang w:val="en-US"/>
        </w:rPr>
        <w:t xml:space="preserve"> The patient’s </w:t>
      </w:r>
      <w:r w:rsidR="00F55F2A">
        <w:rPr>
          <w:lang w:val="en-US"/>
        </w:rPr>
        <w:t>response</w:t>
      </w:r>
      <w:r w:rsidR="00252D6F">
        <w:rPr>
          <w:lang w:val="en-US"/>
        </w:rPr>
        <w:t xml:space="preserve"> will determine the continuation of the regimen. </w:t>
      </w:r>
    </w:p>
    <w:p w:rsidR="00F55F2A" w:rsidRPr="00F55F2A" w:rsidRDefault="00F55F2A">
      <w:pPr>
        <w:rPr>
          <w:b/>
          <w:lang w:val="en-US"/>
        </w:rPr>
      </w:pPr>
      <w:r w:rsidRPr="00F55F2A">
        <w:rPr>
          <w:b/>
          <w:lang w:val="en-US"/>
        </w:rPr>
        <w:br w:type="page"/>
      </w:r>
    </w:p>
    <w:p w:rsidR="004E2F3D" w:rsidRPr="00BC571C" w:rsidRDefault="00BC571C">
      <w:pPr>
        <w:rPr>
          <w:b/>
        </w:rPr>
      </w:pPr>
      <w:r>
        <w:rPr>
          <w:b/>
        </w:rPr>
        <w:t>ΒΙΒΛΙΟΓΡΑΦΙΑ</w:t>
      </w:r>
    </w:p>
    <w:p w:rsidR="008372E0" w:rsidRPr="00C50D68" w:rsidRDefault="008372E0" w:rsidP="008372E0">
      <w:pPr>
        <w:pStyle w:val="ListParagraph"/>
        <w:numPr>
          <w:ilvl w:val="0"/>
          <w:numId w:val="39"/>
        </w:numPr>
        <w:jc w:val="both"/>
        <w:rPr>
          <w:rFonts w:cstheme="minorHAnsi"/>
          <w:sz w:val="24"/>
          <w:szCs w:val="24"/>
        </w:rPr>
      </w:pPr>
      <w:r w:rsidRPr="00C50D68">
        <w:rPr>
          <w:rFonts w:cstheme="minorHAnsi"/>
          <w:sz w:val="24"/>
          <w:szCs w:val="24"/>
        </w:rPr>
        <w:t>Ansell BM. Juvenile Idiopathic Arthritis. Current Orthopedics 1998; 12:174-80</w:t>
      </w:r>
    </w:p>
    <w:p w:rsidR="00276D0E" w:rsidRPr="00B70081" w:rsidRDefault="00276D0E" w:rsidP="00276D0E">
      <w:pPr>
        <w:pStyle w:val="ListParagraph"/>
        <w:numPr>
          <w:ilvl w:val="0"/>
          <w:numId w:val="39"/>
        </w:numPr>
        <w:tabs>
          <w:tab w:val="left" w:pos="284"/>
          <w:tab w:val="left" w:pos="426"/>
        </w:tabs>
        <w:jc w:val="both"/>
        <w:rPr>
          <w:rFonts w:cstheme="minorHAnsi"/>
          <w:sz w:val="24"/>
          <w:szCs w:val="24"/>
        </w:rPr>
      </w:pPr>
      <w:r w:rsidRPr="00B70081">
        <w:rPr>
          <w:rFonts w:cstheme="minorHAnsi"/>
          <w:sz w:val="24"/>
          <w:szCs w:val="24"/>
        </w:rPr>
        <w:t>Petty RE, Southwood TR, Manners P, Baum J, Glass DN, Goldenberg J, et al. International League of Associations for Rheumatology classification of juvenile idiopathic arthritis: second revision, Edmonton 2001. J Rheumatol 2004; 31: 390-2.</w:t>
      </w:r>
    </w:p>
    <w:p w:rsidR="001A28AD" w:rsidRPr="00276D0E" w:rsidRDefault="001A28AD" w:rsidP="00276D0E">
      <w:pPr>
        <w:pStyle w:val="ListParagraph"/>
        <w:numPr>
          <w:ilvl w:val="0"/>
          <w:numId w:val="39"/>
        </w:numPr>
        <w:jc w:val="both"/>
        <w:rPr>
          <w:b/>
        </w:rPr>
      </w:pPr>
      <w:r w:rsidRPr="00276D0E">
        <w:rPr>
          <w:rFonts w:cstheme="minorHAnsi"/>
          <w:sz w:val="24"/>
          <w:szCs w:val="24"/>
        </w:rPr>
        <w:t>Es</w:t>
      </w:r>
      <w:r w:rsidR="00F96D85">
        <w:rPr>
          <w:rFonts w:cstheme="minorHAnsi"/>
          <w:sz w:val="24"/>
          <w:szCs w:val="24"/>
        </w:rPr>
        <w:t>pinosa M, Gottlieb BS. Juvenile</w:t>
      </w:r>
      <w:r w:rsidR="00F96D85" w:rsidRPr="00F96D85">
        <w:rPr>
          <w:rFonts w:cstheme="minorHAnsi"/>
          <w:sz w:val="24"/>
          <w:szCs w:val="24"/>
        </w:rPr>
        <w:t xml:space="preserve"> </w:t>
      </w:r>
      <w:r w:rsidRPr="00276D0E">
        <w:rPr>
          <w:rFonts w:cstheme="minorHAnsi"/>
          <w:sz w:val="24"/>
          <w:szCs w:val="24"/>
        </w:rPr>
        <w:t xml:space="preserve">Idiopathic Arthritis. Pediatrics in Review 2012; 33:303-13. </w:t>
      </w:r>
    </w:p>
    <w:p w:rsidR="00276D0E" w:rsidRPr="00276D0E" w:rsidRDefault="00276D0E" w:rsidP="00276D0E">
      <w:pPr>
        <w:pStyle w:val="ListParagraph"/>
        <w:numPr>
          <w:ilvl w:val="0"/>
          <w:numId w:val="39"/>
        </w:numPr>
        <w:tabs>
          <w:tab w:val="left" w:pos="284"/>
          <w:tab w:val="left" w:pos="426"/>
        </w:tabs>
        <w:jc w:val="both"/>
        <w:rPr>
          <w:rFonts w:cstheme="minorHAnsi"/>
          <w:sz w:val="24"/>
          <w:szCs w:val="24"/>
        </w:rPr>
      </w:pPr>
      <w:r w:rsidRPr="00B70081">
        <w:rPr>
          <w:rFonts w:cstheme="minorHAnsi"/>
          <w:sz w:val="24"/>
          <w:szCs w:val="24"/>
        </w:rPr>
        <w:t>Prakken</w:t>
      </w:r>
      <w:r w:rsidR="00F96D85" w:rsidRPr="00F96D85">
        <w:rPr>
          <w:rFonts w:cstheme="minorHAnsi"/>
          <w:sz w:val="24"/>
          <w:szCs w:val="24"/>
        </w:rPr>
        <w:t xml:space="preserve"> </w:t>
      </w:r>
      <w:r w:rsidRPr="00B70081">
        <w:rPr>
          <w:rFonts w:cstheme="minorHAnsi"/>
          <w:sz w:val="24"/>
          <w:szCs w:val="24"/>
        </w:rPr>
        <w:t>B, Albani S, Martini A. Juvenile idiopathic arthritis. Lancet 2011; 377: 2138-49.</w:t>
      </w:r>
    </w:p>
    <w:p w:rsidR="00276D0E" w:rsidRPr="00276D0E" w:rsidRDefault="00901D48" w:rsidP="00276D0E">
      <w:pPr>
        <w:pStyle w:val="ListParagraph"/>
        <w:numPr>
          <w:ilvl w:val="0"/>
          <w:numId w:val="39"/>
        </w:numPr>
        <w:tabs>
          <w:tab w:val="left" w:pos="284"/>
          <w:tab w:val="left" w:pos="426"/>
        </w:tabs>
        <w:jc w:val="both"/>
        <w:rPr>
          <w:rFonts w:cstheme="minorHAnsi"/>
          <w:sz w:val="24"/>
          <w:szCs w:val="24"/>
        </w:rPr>
      </w:pPr>
      <w:hyperlink r:id="rId10" w:history="1">
        <w:r w:rsidR="00276D0E" w:rsidRPr="00276D0E">
          <w:rPr>
            <w:rFonts w:cstheme="minorHAnsi"/>
            <w:sz w:val="24"/>
            <w:szCs w:val="24"/>
          </w:rPr>
          <w:t>Nistala K</w:t>
        </w:r>
      </w:hyperlink>
      <w:r w:rsidR="00276D0E" w:rsidRPr="00276D0E">
        <w:rPr>
          <w:rFonts w:cstheme="minorHAnsi"/>
          <w:sz w:val="24"/>
          <w:szCs w:val="24"/>
        </w:rPr>
        <w:t xml:space="preserve">, </w:t>
      </w:r>
      <w:hyperlink r:id="rId11" w:history="1">
        <w:r w:rsidR="00276D0E" w:rsidRPr="00276D0E">
          <w:rPr>
            <w:rFonts w:cstheme="minorHAnsi"/>
            <w:sz w:val="24"/>
            <w:szCs w:val="24"/>
          </w:rPr>
          <w:t>Moncrieffe H</w:t>
        </w:r>
      </w:hyperlink>
      <w:r w:rsidR="00276D0E" w:rsidRPr="00276D0E">
        <w:rPr>
          <w:rFonts w:cstheme="minorHAnsi"/>
          <w:sz w:val="24"/>
          <w:szCs w:val="24"/>
        </w:rPr>
        <w:t xml:space="preserve">, </w:t>
      </w:r>
      <w:hyperlink r:id="rId12" w:history="1">
        <w:r w:rsidR="00276D0E" w:rsidRPr="00276D0E">
          <w:rPr>
            <w:rFonts w:cstheme="minorHAnsi"/>
            <w:sz w:val="24"/>
            <w:szCs w:val="24"/>
          </w:rPr>
          <w:t>Newton KR</w:t>
        </w:r>
      </w:hyperlink>
      <w:r w:rsidR="00276D0E" w:rsidRPr="00276D0E">
        <w:rPr>
          <w:rFonts w:cstheme="minorHAnsi"/>
          <w:sz w:val="24"/>
          <w:szCs w:val="24"/>
        </w:rPr>
        <w:t xml:space="preserve">, </w:t>
      </w:r>
      <w:hyperlink r:id="rId13" w:history="1">
        <w:r w:rsidR="00276D0E" w:rsidRPr="00276D0E">
          <w:rPr>
            <w:rFonts w:cstheme="minorHAnsi"/>
            <w:sz w:val="24"/>
            <w:szCs w:val="24"/>
          </w:rPr>
          <w:t>Varsani H</w:t>
        </w:r>
      </w:hyperlink>
      <w:r w:rsidR="00276D0E" w:rsidRPr="00276D0E">
        <w:rPr>
          <w:rFonts w:cstheme="minorHAnsi"/>
          <w:sz w:val="24"/>
          <w:szCs w:val="24"/>
        </w:rPr>
        <w:t xml:space="preserve">, </w:t>
      </w:r>
      <w:hyperlink r:id="rId14" w:history="1">
        <w:r w:rsidR="00276D0E" w:rsidRPr="00276D0E">
          <w:rPr>
            <w:rFonts w:cstheme="minorHAnsi"/>
            <w:sz w:val="24"/>
            <w:szCs w:val="24"/>
          </w:rPr>
          <w:t>Hunter P</w:t>
        </w:r>
      </w:hyperlink>
      <w:r w:rsidR="00276D0E" w:rsidRPr="00276D0E">
        <w:rPr>
          <w:rFonts w:cstheme="minorHAnsi"/>
          <w:sz w:val="24"/>
          <w:szCs w:val="24"/>
        </w:rPr>
        <w:t xml:space="preserve">, </w:t>
      </w:r>
      <w:hyperlink r:id="rId15" w:history="1">
        <w:r w:rsidR="00276D0E" w:rsidRPr="00276D0E">
          <w:rPr>
            <w:rFonts w:cstheme="minorHAnsi"/>
            <w:sz w:val="24"/>
            <w:szCs w:val="24"/>
          </w:rPr>
          <w:t>Wedderburn LR</w:t>
        </w:r>
      </w:hyperlink>
      <w:r w:rsidR="00276D0E" w:rsidRPr="00276D0E">
        <w:rPr>
          <w:rFonts w:cstheme="minorHAnsi"/>
          <w:sz w:val="24"/>
          <w:szCs w:val="24"/>
        </w:rPr>
        <w:t xml:space="preserve">. Interleukin-17-producing T cells are enriched in the joints of children with arthritis, but have a reciprocal relationship to regulatory T cell numbers. </w:t>
      </w:r>
      <w:hyperlink r:id="rId16" w:tooltip="Arthritis and rheumatism." w:history="1">
        <w:r w:rsidR="00276D0E" w:rsidRPr="00276D0E">
          <w:rPr>
            <w:rFonts w:cstheme="minorHAnsi"/>
            <w:sz w:val="24"/>
            <w:szCs w:val="24"/>
          </w:rPr>
          <w:t>Arthritis Rheum</w:t>
        </w:r>
      </w:hyperlink>
      <w:r w:rsidR="00276D0E" w:rsidRPr="00276D0E">
        <w:rPr>
          <w:rFonts w:cstheme="minorHAnsi"/>
          <w:sz w:val="24"/>
          <w:szCs w:val="24"/>
        </w:rPr>
        <w:t xml:space="preserve"> 2008;5:</w:t>
      </w:r>
      <w:r w:rsidR="00F96D85">
        <w:rPr>
          <w:rFonts w:cstheme="minorHAnsi"/>
          <w:sz w:val="24"/>
          <w:szCs w:val="24"/>
          <w:lang w:val="el-GR"/>
        </w:rPr>
        <w:t xml:space="preserve"> </w:t>
      </w:r>
      <w:r w:rsidR="00276D0E" w:rsidRPr="00276D0E">
        <w:rPr>
          <w:rFonts w:cstheme="minorHAnsi"/>
          <w:sz w:val="24"/>
          <w:szCs w:val="24"/>
        </w:rPr>
        <w:t xml:space="preserve">875-87. </w:t>
      </w:r>
    </w:p>
    <w:p w:rsidR="00276D0E" w:rsidRPr="00276D0E" w:rsidRDefault="00276D0E" w:rsidP="00276D0E">
      <w:pPr>
        <w:pStyle w:val="ListParagraph"/>
        <w:numPr>
          <w:ilvl w:val="0"/>
          <w:numId w:val="39"/>
        </w:numPr>
        <w:tabs>
          <w:tab w:val="left" w:pos="284"/>
          <w:tab w:val="left" w:pos="426"/>
        </w:tabs>
        <w:jc w:val="both"/>
        <w:rPr>
          <w:rFonts w:cstheme="minorHAnsi"/>
          <w:sz w:val="24"/>
          <w:szCs w:val="24"/>
        </w:rPr>
      </w:pPr>
      <w:r w:rsidRPr="00276D0E">
        <w:rPr>
          <w:rFonts w:cstheme="minorHAnsi"/>
          <w:sz w:val="24"/>
          <w:szCs w:val="24"/>
        </w:rPr>
        <w:t>Hinze C, Gohar F, Foell D.</w:t>
      </w:r>
      <w:r w:rsidRPr="00276D0E">
        <w:rPr>
          <w:rFonts w:ascii="ITC Franklin Gothic Std Med" w:hAnsi="ITC Franklin Gothic Std Med" w:cs="ITC Franklin Gothic Std Med"/>
          <w:color w:val="000000"/>
          <w:sz w:val="24"/>
          <w:szCs w:val="24"/>
        </w:rPr>
        <w:t xml:space="preserve"> </w:t>
      </w:r>
      <w:r w:rsidRPr="00276D0E">
        <w:rPr>
          <w:rFonts w:cstheme="minorHAnsi"/>
          <w:sz w:val="24"/>
          <w:szCs w:val="24"/>
        </w:rPr>
        <w:t xml:space="preserve">Management of juvenile idiopathic arthritis: hitting the target </w:t>
      </w:r>
      <w:r w:rsidRPr="00276D0E">
        <w:rPr>
          <w:rFonts w:cstheme="minorHAnsi"/>
          <w:i/>
          <w:iCs/>
          <w:sz w:val="24"/>
          <w:szCs w:val="24"/>
        </w:rPr>
        <w:t xml:space="preserve">Nat. Rev. Rheumatol </w:t>
      </w:r>
      <w:r w:rsidRPr="00276D0E">
        <w:rPr>
          <w:rFonts w:cstheme="minorHAnsi"/>
          <w:sz w:val="24"/>
          <w:szCs w:val="24"/>
        </w:rPr>
        <w:t xml:space="preserve">advance online publication 6 January 2015; </w:t>
      </w:r>
      <w:r w:rsidRPr="00276D0E">
        <w:rPr>
          <w:rFonts w:cstheme="minorHAnsi"/>
          <w:sz w:val="24"/>
          <w:szCs w:val="24"/>
          <w:u w:val="single"/>
        </w:rPr>
        <w:t>doi:10.1038/nrrheum.2014.212</w:t>
      </w:r>
    </w:p>
    <w:p w:rsidR="00276D0E" w:rsidRPr="00B70081" w:rsidRDefault="00276D0E" w:rsidP="00276D0E">
      <w:pPr>
        <w:pStyle w:val="ListParagraph"/>
        <w:numPr>
          <w:ilvl w:val="0"/>
          <w:numId w:val="39"/>
        </w:numPr>
        <w:tabs>
          <w:tab w:val="left" w:pos="284"/>
          <w:tab w:val="left" w:pos="426"/>
        </w:tabs>
        <w:jc w:val="both"/>
        <w:rPr>
          <w:rFonts w:cstheme="minorHAnsi"/>
          <w:sz w:val="24"/>
          <w:szCs w:val="24"/>
        </w:rPr>
      </w:pPr>
      <w:r w:rsidRPr="00B70081">
        <w:rPr>
          <w:rFonts w:cstheme="minorHAnsi"/>
          <w:sz w:val="24"/>
          <w:szCs w:val="24"/>
        </w:rPr>
        <w:t>Ostring GT, Singh-Grewal D. Juvenile idiopathic arthritis in the new world of biologics. J Paediatr Child Health 2013; doi:10. 1111/jpc. 12218.</w:t>
      </w:r>
    </w:p>
    <w:p w:rsidR="00BF1F76" w:rsidRPr="00BF1F76" w:rsidRDefault="00BF1F76" w:rsidP="00BF1F76">
      <w:pPr>
        <w:pStyle w:val="ListParagraph"/>
        <w:numPr>
          <w:ilvl w:val="0"/>
          <w:numId w:val="39"/>
        </w:numPr>
        <w:tabs>
          <w:tab w:val="left" w:pos="284"/>
          <w:tab w:val="left" w:pos="426"/>
        </w:tabs>
        <w:jc w:val="both"/>
        <w:rPr>
          <w:rFonts w:cstheme="minorHAnsi"/>
          <w:sz w:val="24"/>
          <w:szCs w:val="24"/>
        </w:rPr>
      </w:pPr>
      <w:r w:rsidRPr="00BF1F76">
        <w:rPr>
          <w:rFonts w:cstheme="minorHAnsi"/>
          <w:sz w:val="24"/>
          <w:szCs w:val="24"/>
        </w:rPr>
        <w:t>Horneff G. Update on biological for treatment of juvenile idiopathic arthritis. Expert Opin 2013; 13:361-76</w:t>
      </w:r>
      <w:r w:rsidR="00F96D85">
        <w:rPr>
          <w:rFonts w:cstheme="minorHAnsi"/>
          <w:sz w:val="24"/>
          <w:szCs w:val="24"/>
          <w:lang w:val="el-GR"/>
        </w:rPr>
        <w:t>.</w:t>
      </w:r>
    </w:p>
    <w:p w:rsidR="00BF1F76" w:rsidRPr="00BF1F76" w:rsidRDefault="00BF1F76" w:rsidP="00BF1F76">
      <w:pPr>
        <w:pStyle w:val="ListParagraph"/>
        <w:numPr>
          <w:ilvl w:val="0"/>
          <w:numId w:val="39"/>
        </w:numPr>
        <w:tabs>
          <w:tab w:val="left" w:pos="284"/>
          <w:tab w:val="left" w:pos="426"/>
        </w:tabs>
        <w:jc w:val="both"/>
        <w:rPr>
          <w:rFonts w:cstheme="minorHAnsi"/>
          <w:bCs/>
          <w:sz w:val="24"/>
          <w:szCs w:val="24"/>
          <w:lang w:val="el-GR"/>
        </w:rPr>
      </w:pPr>
      <w:r w:rsidRPr="00BF1F76">
        <w:rPr>
          <w:rFonts w:cstheme="minorHAnsi"/>
          <w:bCs/>
          <w:sz w:val="24"/>
          <w:szCs w:val="24"/>
        </w:rPr>
        <w:t>Ringold S, Weiss PF, Colbert RA, de Witt EM, Lee T, Onel K et al. Childhood Arthritis and Rheumatology ResearchAlliance Consensus Treatment Plans for New-Onset Polyarticular Juvenile Idiopathic Arthritis.</w:t>
      </w:r>
      <w:r w:rsidRPr="00BF1F76">
        <w:rPr>
          <w:rFonts w:ascii="Melior" w:hAnsi="Melior" w:cs="Melior"/>
          <w:color w:val="231F20"/>
          <w:sz w:val="18"/>
          <w:szCs w:val="18"/>
        </w:rPr>
        <w:t xml:space="preserve"> </w:t>
      </w:r>
      <w:r w:rsidRPr="00BF1F76">
        <w:rPr>
          <w:rFonts w:cstheme="minorHAnsi"/>
          <w:bCs/>
          <w:sz w:val="24"/>
          <w:szCs w:val="24"/>
          <w:lang w:val="el-GR"/>
        </w:rPr>
        <w:t>Arthr Care &amp; Research</w:t>
      </w:r>
      <w:r w:rsidRPr="00BF1F76">
        <w:rPr>
          <w:rFonts w:cstheme="minorHAnsi"/>
          <w:bCs/>
          <w:sz w:val="24"/>
          <w:szCs w:val="24"/>
        </w:rPr>
        <w:t xml:space="preserve"> 2014; </w:t>
      </w:r>
      <w:r w:rsidRPr="00BF1F76">
        <w:rPr>
          <w:rFonts w:cstheme="minorHAnsi"/>
          <w:bCs/>
          <w:sz w:val="24"/>
          <w:szCs w:val="24"/>
          <w:lang w:val="el-GR"/>
        </w:rPr>
        <w:t>66, 2014, 1063–72</w:t>
      </w:r>
      <w:r w:rsidRPr="00BF1F76">
        <w:rPr>
          <w:rFonts w:cstheme="minorHAnsi"/>
          <w:bCs/>
          <w:sz w:val="24"/>
          <w:szCs w:val="24"/>
        </w:rPr>
        <w:t>.</w:t>
      </w:r>
    </w:p>
    <w:p w:rsidR="00BF1F76" w:rsidRPr="00B70081" w:rsidRDefault="00BF1F76" w:rsidP="00BF1F76">
      <w:pPr>
        <w:pStyle w:val="ListParagraph"/>
        <w:numPr>
          <w:ilvl w:val="0"/>
          <w:numId w:val="39"/>
        </w:numPr>
        <w:tabs>
          <w:tab w:val="left" w:pos="284"/>
          <w:tab w:val="left" w:pos="426"/>
        </w:tabs>
        <w:jc w:val="both"/>
        <w:rPr>
          <w:rFonts w:cstheme="minorHAnsi"/>
          <w:sz w:val="24"/>
          <w:szCs w:val="24"/>
        </w:rPr>
      </w:pPr>
      <w:r w:rsidRPr="00B70081">
        <w:rPr>
          <w:rFonts w:cstheme="minorHAnsi"/>
          <w:sz w:val="24"/>
          <w:szCs w:val="24"/>
        </w:rPr>
        <w:t>Ringold S, Weiss PF, Beukelman T, DeWitt EM, Ilowite NT, Kimura Y, et al. 2013 Update of the 2011 American College of Rheumatology Recommendations for the Treatment of Juvenile Idiopathic Arthritis: Recommendations for the Medical Therapy of Children With Systemic Juvenile Idiopathic Arthritis and Tuberculosis Screening Among Children Receiving Biologic Medications. Arthritis Care &amp; Research 2013;65:</w:t>
      </w:r>
      <w:r w:rsidR="00F96D85">
        <w:rPr>
          <w:rFonts w:cstheme="minorHAnsi"/>
          <w:sz w:val="24"/>
          <w:szCs w:val="24"/>
          <w:lang w:val="el-GR"/>
        </w:rPr>
        <w:t xml:space="preserve"> </w:t>
      </w:r>
      <w:r w:rsidRPr="00B70081">
        <w:rPr>
          <w:rFonts w:cstheme="minorHAnsi"/>
          <w:sz w:val="24"/>
          <w:szCs w:val="24"/>
        </w:rPr>
        <w:t>1551–63.</w:t>
      </w:r>
    </w:p>
    <w:p w:rsidR="00BF1F76" w:rsidRPr="00BF1F76" w:rsidRDefault="00BF1F76"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bCs/>
          <w:sz w:val="24"/>
          <w:szCs w:val="24"/>
        </w:rPr>
        <w:t>Nigrovic PA.</w:t>
      </w:r>
      <w:r w:rsidRPr="00BF1F76">
        <w:rPr>
          <w:rFonts w:ascii="Dutch801BT-Roman" w:hAnsi="Dutch801BT-Roman" w:cs="Dutch801BT-Roman"/>
          <w:sz w:val="36"/>
          <w:szCs w:val="36"/>
        </w:rPr>
        <w:t xml:space="preserve"> </w:t>
      </w:r>
      <w:r w:rsidRPr="00BF1F76">
        <w:rPr>
          <w:rFonts w:cstheme="minorHAnsi"/>
          <w:bCs/>
          <w:sz w:val="24"/>
          <w:szCs w:val="24"/>
        </w:rPr>
        <w:t>Is There a Window of Opportunity for Treatment of Systemic Juvenile Idiopathic Arthritis?</w:t>
      </w:r>
      <w:r w:rsidRPr="00BF1F76">
        <w:rPr>
          <w:rFonts w:ascii="Dutch801BT-Roman" w:hAnsi="Dutch801BT-Roman" w:cs="Dutch801BT-Roman"/>
          <w:sz w:val="14"/>
          <w:szCs w:val="14"/>
        </w:rPr>
        <w:t xml:space="preserve"> </w:t>
      </w:r>
      <w:r w:rsidRPr="00BF1F76">
        <w:rPr>
          <w:rFonts w:cstheme="minorHAnsi"/>
          <w:bCs/>
          <w:sz w:val="24"/>
          <w:szCs w:val="24"/>
        </w:rPr>
        <w:t>Arthr Rheum 2014; 66: 1405–13.</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sz w:val="24"/>
          <w:szCs w:val="24"/>
        </w:rPr>
        <w:t>Beukelman T, Patkar NM, Saag kg, Tolleson-Rinehart S, Cron RQ, Morgan DeWitt E, et al. 2011 American College of Rheumatology Recommendations for the Treatment of Juvenile Idiopathic Arthritis: Initiation and Safety Monitoring of Therapeutic Agents for the Treatment of Arthritis and Systemic Features. Arthitis Care Res 2011; 63:465-82.</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sz w:val="24"/>
          <w:szCs w:val="24"/>
        </w:rPr>
        <w:t>Wallace CA, Giannini EH, Huang B, Itert L, Ruperto N, for the</w:t>
      </w:r>
      <w:r w:rsidR="00BF1F76" w:rsidRPr="00BF1F76">
        <w:rPr>
          <w:rFonts w:cstheme="minorHAnsi"/>
          <w:sz w:val="24"/>
          <w:szCs w:val="24"/>
        </w:rPr>
        <w:t xml:space="preserve"> </w:t>
      </w:r>
      <w:r w:rsidRPr="00BF1F76">
        <w:rPr>
          <w:rFonts w:cstheme="minorHAnsi"/>
          <w:sz w:val="24"/>
          <w:szCs w:val="24"/>
        </w:rPr>
        <w:t>Childhood Arthritis and Rheumatology Research Alliance</w:t>
      </w:r>
      <w:r w:rsidR="00BF1F76" w:rsidRPr="00BF1F76">
        <w:rPr>
          <w:rFonts w:cstheme="minorHAnsi"/>
          <w:sz w:val="24"/>
          <w:szCs w:val="24"/>
        </w:rPr>
        <w:t xml:space="preserve"> </w:t>
      </w:r>
      <w:r w:rsidRPr="00BF1F76">
        <w:rPr>
          <w:rFonts w:cstheme="minorHAnsi"/>
          <w:sz w:val="24"/>
          <w:szCs w:val="24"/>
        </w:rPr>
        <w:t>(CARRA), the Pediatric Rheumatology Collaborative Study Group (PRCSG), and the Paediatric Rheumatology International</w:t>
      </w:r>
      <w:r w:rsidR="00B70081" w:rsidRPr="00BF1F76">
        <w:rPr>
          <w:rFonts w:cstheme="minorHAnsi"/>
          <w:sz w:val="24"/>
          <w:szCs w:val="24"/>
        </w:rPr>
        <w:t xml:space="preserve"> </w:t>
      </w:r>
      <w:r w:rsidRPr="00BF1F76">
        <w:rPr>
          <w:rFonts w:cstheme="minorHAnsi"/>
          <w:sz w:val="24"/>
          <w:szCs w:val="24"/>
        </w:rPr>
        <w:t>Trials</w:t>
      </w:r>
      <w:r w:rsidR="00B70081" w:rsidRPr="00BF1F76">
        <w:rPr>
          <w:rFonts w:cstheme="minorHAnsi"/>
          <w:sz w:val="24"/>
          <w:szCs w:val="24"/>
        </w:rPr>
        <w:t xml:space="preserve"> </w:t>
      </w:r>
      <w:r w:rsidRPr="00BF1F76">
        <w:rPr>
          <w:rFonts w:cstheme="minorHAnsi"/>
          <w:sz w:val="24"/>
          <w:szCs w:val="24"/>
        </w:rPr>
        <w:t>Organisation (PRINTO). American College of Rheumatology provisional criteria for defining clinical inactive disease in select categories of juvenile idiopathic arthritis. Arthritis CareRes (Hoboken) 2011;63:</w:t>
      </w:r>
      <w:r w:rsidR="00F96D85">
        <w:rPr>
          <w:rFonts w:cstheme="minorHAnsi"/>
          <w:sz w:val="24"/>
          <w:szCs w:val="24"/>
          <w:lang w:val="el-GR"/>
        </w:rPr>
        <w:t xml:space="preserve"> </w:t>
      </w:r>
      <w:r w:rsidRPr="00BF1F76">
        <w:rPr>
          <w:rFonts w:cstheme="minorHAnsi"/>
          <w:sz w:val="24"/>
          <w:szCs w:val="24"/>
        </w:rPr>
        <w:t>929–36.</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sz w:val="24"/>
          <w:szCs w:val="24"/>
        </w:rPr>
        <w:t>Magni-Manzoni S,Ruperto N, Pistorio A, Sala E, Solari N, Palmisani E, et al. Development and validation of a preliminary definition of minimal disease activity in juvenile idiopathic arthritis. Arthritis Rheum 2008; 59: 1120-7.</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sz w:val="24"/>
          <w:szCs w:val="24"/>
        </w:rPr>
        <w:t>Consolaro A, Ruperto N, Bazso A, Pistorio A, Magni- Manzoni S, Filocamo G, et al, for the Paediatric Rheumatology International Trials Organization. Development and validation of a composite disease activity score for juvenile idiopathic arthritis. Arthritis Rheum 2009; 61:658-66.</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sz w:val="24"/>
          <w:szCs w:val="24"/>
        </w:rPr>
        <w:t>Consolaro</w:t>
      </w:r>
      <w:r w:rsidR="00B70081" w:rsidRPr="00BF1F76">
        <w:rPr>
          <w:rFonts w:cstheme="minorHAnsi"/>
          <w:sz w:val="24"/>
          <w:szCs w:val="24"/>
        </w:rPr>
        <w:t xml:space="preserve"> </w:t>
      </w:r>
      <w:r w:rsidRPr="00BF1F76">
        <w:rPr>
          <w:rFonts w:cstheme="minorHAnsi"/>
          <w:sz w:val="24"/>
          <w:szCs w:val="24"/>
        </w:rPr>
        <w:t>A,</w:t>
      </w:r>
      <w:r w:rsidR="00276D0E" w:rsidRPr="00BF1F76">
        <w:rPr>
          <w:rFonts w:cstheme="minorHAnsi"/>
          <w:sz w:val="24"/>
          <w:szCs w:val="24"/>
        </w:rPr>
        <w:t xml:space="preserve"> </w:t>
      </w:r>
      <w:r w:rsidRPr="00BF1F76">
        <w:rPr>
          <w:rFonts w:cstheme="minorHAnsi"/>
          <w:sz w:val="24"/>
          <w:szCs w:val="24"/>
        </w:rPr>
        <w:t>Bracciolini G, Ruperto N, Pistorio A, Magni-Manzoni S, Malattia C, et al. Remission, minimal disease activity and acceptable symptom state in juvenile idiopathic arthritis. Arthritis &amp; Rheumatism 2012; 64: 2366-74.</w:t>
      </w:r>
    </w:p>
    <w:p w:rsidR="001A28AD" w:rsidRPr="00BF1F76" w:rsidRDefault="00BF1F76"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bCs/>
          <w:sz w:val="24"/>
          <w:szCs w:val="24"/>
        </w:rPr>
        <w:t xml:space="preserve"> </w:t>
      </w:r>
      <w:r w:rsidR="001A28AD" w:rsidRPr="00BF1F76">
        <w:rPr>
          <w:rFonts w:cstheme="minorHAnsi"/>
          <w:bCs/>
          <w:sz w:val="24"/>
          <w:szCs w:val="24"/>
        </w:rPr>
        <w:t>Giannini</w:t>
      </w:r>
      <w:r w:rsidR="00276D0E" w:rsidRPr="00BF1F76">
        <w:rPr>
          <w:rFonts w:cstheme="minorHAnsi"/>
          <w:bCs/>
          <w:sz w:val="24"/>
          <w:szCs w:val="24"/>
        </w:rPr>
        <w:t xml:space="preserve"> </w:t>
      </w:r>
      <w:r w:rsidR="001A28AD" w:rsidRPr="00BF1F76">
        <w:rPr>
          <w:rFonts w:cstheme="minorHAnsi"/>
          <w:bCs/>
          <w:sz w:val="24"/>
          <w:szCs w:val="24"/>
        </w:rPr>
        <w:t>EH,</w:t>
      </w:r>
      <w:r w:rsidR="00276D0E" w:rsidRPr="00BF1F76">
        <w:rPr>
          <w:rFonts w:cstheme="minorHAnsi"/>
          <w:bCs/>
          <w:sz w:val="24"/>
          <w:szCs w:val="24"/>
        </w:rPr>
        <w:t xml:space="preserve"> </w:t>
      </w:r>
      <w:r w:rsidR="001A28AD" w:rsidRPr="00BF1F76">
        <w:rPr>
          <w:rFonts w:cstheme="minorHAnsi"/>
          <w:bCs/>
          <w:sz w:val="24"/>
          <w:szCs w:val="24"/>
        </w:rPr>
        <w:t>Ruperto N, Ravelli A, Lovell DJ, Felson DT, Martini A. Preliminary definition of improvement in juvenile arthritis. Arthritis Rheum 1997;40:1202-9.</w:t>
      </w:r>
    </w:p>
    <w:p w:rsidR="001A28AD" w:rsidRPr="00BF1F76" w:rsidRDefault="001A28AD" w:rsidP="00BF1F76">
      <w:pPr>
        <w:pStyle w:val="ListParagraph"/>
        <w:numPr>
          <w:ilvl w:val="0"/>
          <w:numId w:val="39"/>
        </w:numPr>
        <w:tabs>
          <w:tab w:val="left" w:pos="284"/>
          <w:tab w:val="left" w:pos="426"/>
        </w:tabs>
        <w:jc w:val="both"/>
        <w:rPr>
          <w:rFonts w:cstheme="minorHAnsi"/>
          <w:bCs/>
          <w:sz w:val="24"/>
          <w:szCs w:val="24"/>
        </w:rPr>
      </w:pPr>
      <w:r w:rsidRPr="00BF1F76">
        <w:rPr>
          <w:rFonts w:cstheme="minorHAnsi"/>
          <w:bCs/>
          <w:sz w:val="24"/>
          <w:szCs w:val="24"/>
        </w:rPr>
        <w:t>Ringold S, Wallace CA.</w:t>
      </w:r>
      <w:r w:rsidR="00B70081" w:rsidRPr="00BF1F76">
        <w:rPr>
          <w:rFonts w:cstheme="minorHAnsi"/>
          <w:bCs/>
          <w:sz w:val="24"/>
          <w:szCs w:val="24"/>
        </w:rPr>
        <w:t xml:space="preserve"> </w:t>
      </w:r>
      <w:hyperlink r:id="rId17" w:history="1">
        <w:r w:rsidRPr="00BF1F76">
          <w:t>Measuring clinical response and remission in juvenile idiopathic arthritis.</w:t>
        </w:r>
      </w:hyperlink>
      <w:r w:rsidRPr="00BF1F76">
        <w:rPr>
          <w:rFonts w:cstheme="minorHAnsi"/>
          <w:bCs/>
          <w:sz w:val="24"/>
          <w:szCs w:val="24"/>
        </w:rPr>
        <w:t>CurrOpinRheumatol 2007;19:</w:t>
      </w:r>
      <w:r w:rsidR="00BF1F76" w:rsidRPr="00BF1F76">
        <w:rPr>
          <w:rFonts w:cstheme="minorHAnsi"/>
          <w:bCs/>
          <w:sz w:val="24"/>
          <w:szCs w:val="24"/>
        </w:rPr>
        <w:t xml:space="preserve"> </w:t>
      </w:r>
      <w:r w:rsidRPr="00BF1F76">
        <w:rPr>
          <w:rFonts w:cstheme="minorHAnsi"/>
          <w:bCs/>
          <w:sz w:val="24"/>
          <w:szCs w:val="24"/>
        </w:rPr>
        <w:t xml:space="preserve">471-6. </w:t>
      </w:r>
    </w:p>
    <w:p w:rsidR="001A28AD" w:rsidRPr="00BF1F76" w:rsidRDefault="00901D48" w:rsidP="00BF1F76">
      <w:pPr>
        <w:pStyle w:val="ListParagraph"/>
        <w:numPr>
          <w:ilvl w:val="0"/>
          <w:numId w:val="39"/>
        </w:numPr>
        <w:tabs>
          <w:tab w:val="left" w:pos="284"/>
          <w:tab w:val="left" w:pos="426"/>
        </w:tabs>
        <w:jc w:val="both"/>
        <w:rPr>
          <w:rFonts w:cstheme="minorHAnsi"/>
          <w:bCs/>
          <w:sz w:val="24"/>
          <w:szCs w:val="24"/>
        </w:rPr>
      </w:pPr>
      <w:hyperlink r:id="rId18" w:history="1">
        <w:r w:rsidR="001A28AD" w:rsidRPr="00BF1F76">
          <w:t>Brunner HI</w:t>
        </w:r>
      </w:hyperlink>
      <w:r w:rsidR="001A28AD" w:rsidRPr="00BF1F76">
        <w:rPr>
          <w:rFonts w:cstheme="minorHAnsi"/>
          <w:bCs/>
          <w:sz w:val="24"/>
          <w:szCs w:val="24"/>
        </w:rPr>
        <w:t>,</w:t>
      </w:r>
      <w:hyperlink r:id="rId19" w:history="1">
        <w:r w:rsidR="001A28AD" w:rsidRPr="00BF1F76">
          <w:t>Lovell DJ</w:t>
        </w:r>
      </w:hyperlink>
      <w:r w:rsidR="001A28AD" w:rsidRPr="00BF1F76">
        <w:rPr>
          <w:rFonts w:cstheme="minorHAnsi"/>
          <w:bCs/>
          <w:sz w:val="24"/>
          <w:szCs w:val="24"/>
        </w:rPr>
        <w:t xml:space="preserve">, </w:t>
      </w:r>
      <w:hyperlink r:id="rId20" w:history="1">
        <w:r w:rsidR="001A28AD" w:rsidRPr="00BF1F76">
          <w:t>Finck BK</w:t>
        </w:r>
      </w:hyperlink>
      <w:r w:rsidR="001A28AD" w:rsidRPr="00BF1F76">
        <w:rPr>
          <w:rFonts w:cstheme="minorHAnsi"/>
          <w:bCs/>
          <w:sz w:val="24"/>
          <w:szCs w:val="24"/>
        </w:rPr>
        <w:t xml:space="preserve">, </w:t>
      </w:r>
      <w:hyperlink r:id="rId21" w:history="1">
        <w:r w:rsidR="001A28AD" w:rsidRPr="00BF1F76">
          <w:t>Giannini EH</w:t>
        </w:r>
      </w:hyperlink>
      <w:r w:rsidR="001A28AD" w:rsidRPr="00BF1F76">
        <w:rPr>
          <w:rFonts w:cstheme="minorHAnsi"/>
          <w:bCs/>
          <w:sz w:val="24"/>
          <w:szCs w:val="24"/>
        </w:rPr>
        <w:t xml:space="preserve">. Preliminary definition of disease flare in juvenile rheumatoid arthritis. </w:t>
      </w:r>
      <w:hyperlink r:id="rId22" w:tooltip="The Journal of rheumatology." w:history="1">
        <w:r w:rsidR="001A28AD" w:rsidRPr="00BF1F76">
          <w:t>J Rheumatol</w:t>
        </w:r>
      </w:hyperlink>
      <w:r w:rsidR="001A28AD" w:rsidRPr="00BF1F76">
        <w:rPr>
          <w:rFonts w:cstheme="minorHAnsi"/>
          <w:bCs/>
          <w:sz w:val="24"/>
          <w:szCs w:val="24"/>
        </w:rPr>
        <w:t xml:space="preserve"> 2002;29:1058-64.</w:t>
      </w:r>
    </w:p>
    <w:p w:rsidR="00BF1E5C" w:rsidRPr="007C1A3D" w:rsidRDefault="001A28AD" w:rsidP="007C1A3D">
      <w:pPr>
        <w:pStyle w:val="ListParagraph"/>
        <w:numPr>
          <w:ilvl w:val="0"/>
          <w:numId w:val="39"/>
        </w:numPr>
        <w:tabs>
          <w:tab w:val="left" w:pos="284"/>
          <w:tab w:val="left" w:pos="426"/>
        </w:tabs>
        <w:jc w:val="both"/>
        <w:rPr>
          <w:rFonts w:cstheme="minorHAnsi"/>
          <w:bCs/>
          <w:sz w:val="24"/>
          <w:szCs w:val="24"/>
        </w:rPr>
      </w:pPr>
      <w:r w:rsidRPr="007C1A3D">
        <w:rPr>
          <w:rFonts w:cstheme="minorHAnsi"/>
          <w:bCs/>
          <w:sz w:val="24"/>
          <w:szCs w:val="24"/>
        </w:rPr>
        <w:t>Ruperto N</w:t>
      </w:r>
      <w:r w:rsidRPr="007C1A3D">
        <w:rPr>
          <w:rFonts w:cstheme="minorHAnsi"/>
          <w:sz w:val="24"/>
          <w:szCs w:val="24"/>
        </w:rPr>
        <w:t>, Ravelli A, Pistorio A, Malattia C, Cavuto S, Gado-West L, et al.</w:t>
      </w:r>
      <w:hyperlink r:id="rId23" w:history="1">
        <w:r w:rsidRPr="007C1A3D">
          <w:rPr>
            <w:bCs/>
          </w:rPr>
          <w:t>Cross-cultural adaptation and psychometric evaluation of the Childhood Health Assessment Questionnaire (</w:t>
        </w:r>
        <w:r w:rsidRPr="007C1A3D">
          <w:t>CHAQ</w:t>
        </w:r>
        <w:r w:rsidRPr="007C1A3D">
          <w:rPr>
            <w:bCs/>
          </w:rPr>
          <w:t xml:space="preserve">) and the Child Health Questionnaire (CHQ) in 32 countries. Review of the general </w:t>
        </w:r>
        <w:r w:rsidRPr="007C1A3D">
          <w:t>methodology</w:t>
        </w:r>
        <w:r w:rsidRPr="007C1A3D">
          <w:rPr>
            <w:bCs/>
          </w:rPr>
          <w:t>.</w:t>
        </w:r>
      </w:hyperlink>
      <w:r w:rsidRPr="007C1A3D">
        <w:rPr>
          <w:rFonts w:cstheme="minorHAnsi"/>
          <w:bCs/>
          <w:sz w:val="24"/>
          <w:szCs w:val="24"/>
        </w:rPr>
        <w:t>ClinExpRheumatol 2001;19(4 Suppl 23):S1-9</w:t>
      </w:r>
    </w:p>
    <w:p w:rsidR="00BF1E5C" w:rsidRPr="007C1A3D" w:rsidRDefault="00901D48" w:rsidP="007C1A3D">
      <w:pPr>
        <w:pStyle w:val="ListParagraph"/>
        <w:numPr>
          <w:ilvl w:val="0"/>
          <w:numId w:val="39"/>
        </w:numPr>
        <w:tabs>
          <w:tab w:val="left" w:pos="284"/>
          <w:tab w:val="left" w:pos="426"/>
        </w:tabs>
        <w:jc w:val="both"/>
        <w:rPr>
          <w:bCs/>
        </w:rPr>
      </w:pPr>
      <w:hyperlink r:id="rId24" w:history="1">
        <w:r w:rsidR="001A28AD" w:rsidRPr="007C1A3D">
          <w:rPr>
            <w:bCs/>
          </w:rPr>
          <w:t>Pratsidou-Gertsi P</w:t>
        </w:r>
      </w:hyperlink>
      <w:r w:rsidR="001A28AD" w:rsidRPr="007C1A3D">
        <w:rPr>
          <w:bCs/>
        </w:rPr>
        <w:t xml:space="preserve">, </w:t>
      </w:r>
      <w:hyperlink r:id="rId25" w:history="1">
        <w:r w:rsidR="001A28AD" w:rsidRPr="007C1A3D">
          <w:rPr>
            <w:bCs/>
          </w:rPr>
          <w:t>Vougiouka O</w:t>
        </w:r>
      </w:hyperlink>
      <w:r w:rsidR="001A28AD" w:rsidRPr="007C1A3D">
        <w:rPr>
          <w:bCs/>
        </w:rPr>
        <w:t xml:space="preserve">, </w:t>
      </w:r>
      <w:hyperlink r:id="rId26" w:history="1">
        <w:r w:rsidR="001A28AD" w:rsidRPr="007C1A3D">
          <w:rPr>
            <w:bCs/>
          </w:rPr>
          <w:t>Tsitsami E</w:t>
        </w:r>
      </w:hyperlink>
      <w:r w:rsidR="001A28AD" w:rsidRPr="007C1A3D">
        <w:rPr>
          <w:bCs/>
        </w:rPr>
        <w:t xml:space="preserve">, </w:t>
      </w:r>
      <w:hyperlink r:id="rId27" w:history="1">
        <w:r w:rsidR="001A28AD" w:rsidRPr="007C1A3D">
          <w:rPr>
            <w:bCs/>
          </w:rPr>
          <w:t>Ruperto N</w:t>
        </w:r>
      </w:hyperlink>
      <w:r w:rsidR="001A28AD" w:rsidRPr="007C1A3D">
        <w:rPr>
          <w:bCs/>
        </w:rPr>
        <w:t xml:space="preserve">, </w:t>
      </w:r>
      <w:hyperlink r:id="rId28" w:history="1">
        <w:r w:rsidR="001A28AD" w:rsidRPr="007C1A3D">
          <w:rPr>
            <w:bCs/>
          </w:rPr>
          <w:t>Siamopoulou-Mavridou A</w:t>
        </w:r>
      </w:hyperlink>
      <w:r w:rsidR="001A28AD" w:rsidRPr="007C1A3D">
        <w:rPr>
          <w:bCs/>
        </w:rPr>
        <w:t xml:space="preserve">, </w:t>
      </w:r>
      <w:hyperlink r:id="rId29" w:history="1">
        <w:r w:rsidR="001A28AD" w:rsidRPr="007C1A3D">
          <w:rPr>
            <w:bCs/>
          </w:rPr>
          <w:t>DracouC</w:t>
        </w:r>
      </w:hyperlink>
      <w:r w:rsidR="001A28AD" w:rsidRPr="007C1A3D">
        <w:rPr>
          <w:bCs/>
        </w:rPr>
        <w:t>,et</w:t>
      </w:r>
      <w:r w:rsidR="00BF1E5C" w:rsidRPr="007C1A3D">
        <w:rPr>
          <w:bCs/>
        </w:rPr>
        <w:t xml:space="preserve"> </w:t>
      </w:r>
      <w:r w:rsidR="001A28AD" w:rsidRPr="007C1A3D">
        <w:rPr>
          <w:bCs/>
        </w:rPr>
        <w:t>al.The Greek version of the Childhood Health Assessment Questionnaire (CHAQ) and the Child Health Questionnaire (CHQ).</w:t>
      </w:r>
      <w:hyperlink r:id="rId30" w:tooltip="Clinical and experimental rheumatology." w:history="1">
        <w:r w:rsidR="001A28AD" w:rsidRPr="007C1A3D">
          <w:rPr>
            <w:bCs/>
          </w:rPr>
          <w:t>ClinExpRheumatol</w:t>
        </w:r>
      </w:hyperlink>
      <w:r w:rsidR="001A28AD" w:rsidRPr="007C1A3D">
        <w:rPr>
          <w:bCs/>
        </w:rPr>
        <w:t xml:space="preserve"> 2001;19(4 Suppl 23):S76-80.</w:t>
      </w:r>
    </w:p>
    <w:p w:rsidR="002356EC" w:rsidRPr="007C1A3D" w:rsidRDefault="002356EC" w:rsidP="007C1A3D">
      <w:pPr>
        <w:pStyle w:val="ListParagraph"/>
        <w:numPr>
          <w:ilvl w:val="0"/>
          <w:numId w:val="39"/>
        </w:numPr>
        <w:tabs>
          <w:tab w:val="left" w:pos="284"/>
          <w:tab w:val="left" w:pos="426"/>
        </w:tabs>
        <w:jc w:val="both"/>
        <w:rPr>
          <w:bCs/>
        </w:rPr>
      </w:pPr>
      <w:r w:rsidRPr="007C1A3D">
        <w:rPr>
          <w:rFonts w:cstheme="minorHAnsi"/>
          <w:sz w:val="24"/>
          <w:szCs w:val="24"/>
        </w:rPr>
        <w:t>www.ema.</w:t>
      </w:r>
      <w:r w:rsidRPr="002356EC">
        <w:t xml:space="preserve"> </w:t>
      </w:r>
      <w:r w:rsidRPr="007C1A3D">
        <w:rPr>
          <w:rFonts w:cstheme="minorHAnsi"/>
          <w:sz w:val="24"/>
          <w:szCs w:val="24"/>
        </w:rPr>
        <w:t>europa.eu</w:t>
      </w:r>
    </w:p>
    <w:p w:rsidR="001F7D08" w:rsidRPr="007C1A3D" w:rsidRDefault="001F7D08" w:rsidP="007C1A3D">
      <w:pPr>
        <w:pStyle w:val="ListParagraph"/>
        <w:numPr>
          <w:ilvl w:val="0"/>
          <w:numId w:val="39"/>
        </w:numPr>
        <w:tabs>
          <w:tab w:val="left" w:pos="284"/>
          <w:tab w:val="left" w:pos="426"/>
        </w:tabs>
        <w:jc w:val="both"/>
        <w:rPr>
          <w:bCs/>
        </w:rPr>
      </w:pPr>
      <w:r w:rsidRPr="007C1A3D">
        <w:rPr>
          <w:rFonts w:cstheme="minorHAnsi"/>
          <w:sz w:val="24"/>
          <w:szCs w:val="24"/>
        </w:rPr>
        <w:t>Gurion R, Lehman TJA, Moorthy LN. Systemic arthritis in children: A review of clinical presentation and treatment. Intern J of Inflam 2012; Article ID 271569.</w:t>
      </w:r>
    </w:p>
    <w:p w:rsidR="001F7D08" w:rsidRPr="007C1A3D" w:rsidRDefault="001F7D08" w:rsidP="007C1A3D">
      <w:pPr>
        <w:pStyle w:val="ListParagraph"/>
        <w:numPr>
          <w:ilvl w:val="0"/>
          <w:numId w:val="39"/>
        </w:numPr>
        <w:tabs>
          <w:tab w:val="left" w:pos="284"/>
          <w:tab w:val="left" w:pos="426"/>
        </w:tabs>
        <w:jc w:val="both"/>
        <w:rPr>
          <w:bCs/>
        </w:rPr>
      </w:pPr>
      <w:r w:rsidRPr="007C1A3D">
        <w:rPr>
          <w:rFonts w:cstheme="minorHAnsi"/>
          <w:sz w:val="24"/>
          <w:szCs w:val="24"/>
        </w:rPr>
        <w:t>Santos MJ,Canjao H, Conde M, Foseca JE, Mourao AF, Ramos F. Portuguese recommendations for the use of biological therapies in children and adolescents with with juvenile idiopathic arthritis – December 2011 update. Acta Rheumatol Port, 2012; 37:4868.</w:t>
      </w:r>
    </w:p>
    <w:p w:rsidR="001F7D08" w:rsidRPr="007C1A3D" w:rsidRDefault="006A630A" w:rsidP="007C1A3D">
      <w:pPr>
        <w:pStyle w:val="ListParagraph"/>
        <w:numPr>
          <w:ilvl w:val="0"/>
          <w:numId w:val="39"/>
        </w:numPr>
        <w:tabs>
          <w:tab w:val="left" w:pos="284"/>
          <w:tab w:val="left" w:pos="426"/>
        </w:tabs>
        <w:jc w:val="both"/>
        <w:rPr>
          <w:bCs/>
        </w:rPr>
      </w:pPr>
      <w:r w:rsidRPr="007C1A3D">
        <w:rPr>
          <w:rFonts w:cstheme="minorHAnsi"/>
          <w:bCs/>
          <w:sz w:val="24"/>
          <w:szCs w:val="24"/>
        </w:rPr>
        <w:t xml:space="preserve">Wallace CA,Giannini EH, Spalding SJ, Hashkes PJ, O'Neil KM, Zeft AS et l. </w:t>
      </w:r>
      <w:hyperlink r:id="rId31" w:history="1">
        <w:r w:rsidRPr="007C1A3D">
          <w:t>Trial of early aggressive therapy in polyarticular juvenile idiopathic arthritis.</w:t>
        </w:r>
      </w:hyperlink>
      <w:r w:rsidRPr="007C1A3D">
        <w:rPr>
          <w:rFonts w:cstheme="minorHAnsi"/>
          <w:sz w:val="24"/>
          <w:szCs w:val="24"/>
        </w:rPr>
        <w:t xml:space="preserve"> A</w:t>
      </w:r>
      <w:r w:rsidRPr="007C1A3D">
        <w:rPr>
          <w:rFonts w:cstheme="minorHAnsi"/>
          <w:bCs/>
          <w:sz w:val="24"/>
          <w:szCs w:val="24"/>
        </w:rPr>
        <w:t>rthritis Rheum 2012;64:2012-21.</w:t>
      </w:r>
    </w:p>
    <w:p w:rsidR="00B70081" w:rsidRPr="007C1A3D" w:rsidRDefault="00DF2F93" w:rsidP="007C1A3D">
      <w:pPr>
        <w:pStyle w:val="ListParagraph"/>
        <w:numPr>
          <w:ilvl w:val="0"/>
          <w:numId w:val="39"/>
        </w:numPr>
        <w:tabs>
          <w:tab w:val="left" w:pos="284"/>
          <w:tab w:val="left" w:pos="426"/>
        </w:tabs>
        <w:jc w:val="both"/>
        <w:rPr>
          <w:bCs/>
        </w:rPr>
      </w:pPr>
      <w:r w:rsidRPr="007C1A3D">
        <w:rPr>
          <w:rFonts w:cstheme="minorHAnsi"/>
          <w:sz w:val="24"/>
          <w:szCs w:val="24"/>
        </w:rPr>
        <w:t>Baildam E. A commentary on Treat: The trial of early aggressive drug therapy in juvenile</w:t>
      </w:r>
      <w:r w:rsidR="00B70081" w:rsidRPr="007C1A3D">
        <w:rPr>
          <w:rFonts w:cstheme="minorHAnsi"/>
          <w:sz w:val="24"/>
          <w:szCs w:val="24"/>
        </w:rPr>
        <w:t xml:space="preserve"> idiopathic arthritis. MBC Medicine 2012; 10: 59. </w:t>
      </w:r>
    </w:p>
    <w:p w:rsidR="007C1A3D" w:rsidRPr="00C50D68" w:rsidRDefault="007C1A3D" w:rsidP="007C1A3D">
      <w:pPr>
        <w:pStyle w:val="ListParagraph"/>
        <w:numPr>
          <w:ilvl w:val="0"/>
          <w:numId w:val="39"/>
        </w:numPr>
        <w:tabs>
          <w:tab w:val="left" w:pos="284"/>
          <w:tab w:val="left" w:pos="426"/>
        </w:tabs>
        <w:spacing w:after="0"/>
        <w:jc w:val="both"/>
        <w:rPr>
          <w:rFonts w:cstheme="minorHAnsi"/>
          <w:iCs/>
          <w:sz w:val="24"/>
          <w:szCs w:val="24"/>
        </w:rPr>
      </w:pPr>
      <w:r w:rsidRPr="00C50D68">
        <w:rPr>
          <w:rFonts w:cstheme="minorHAnsi"/>
          <w:sz w:val="24"/>
          <w:szCs w:val="24"/>
        </w:rPr>
        <w:t>Ravelli</w:t>
      </w:r>
      <w:r w:rsidRPr="007C1A3D">
        <w:rPr>
          <w:rFonts w:cstheme="minorHAnsi"/>
          <w:sz w:val="24"/>
          <w:szCs w:val="24"/>
        </w:rPr>
        <w:t xml:space="preserve"> </w:t>
      </w:r>
      <w:r w:rsidRPr="00C50D68">
        <w:rPr>
          <w:rFonts w:cstheme="minorHAnsi"/>
          <w:sz w:val="24"/>
          <w:szCs w:val="24"/>
          <w:lang w:val="el-GR"/>
        </w:rPr>
        <w:t>Α</w:t>
      </w:r>
      <w:r w:rsidRPr="00C50D68">
        <w:rPr>
          <w:rFonts w:cstheme="minorHAnsi"/>
          <w:sz w:val="24"/>
          <w:szCs w:val="24"/>
        </w:rPr>
        <w:t>,Lattanzi</w:t>
      </w:r>
      <w:r w:rsidRPr="007C1A3D">
        <w:rPr>
          <w:rFonts w:cstheme="minorHAnsi"/>
          <w:sz w:val="24"/>
          <w:szCs w:val="24"/>
        </w:rPr>
        <w:t xml:space="preserve"> </w:t>
      </w:r>
      <w:r w:rsidRPr="00C50D68">
        <w:rPr>
          <w:rFonts w:cstheme="minorHAnsi"/>
          <w:sz w:val="24"/>
          <w:szCs w:val="24"/>
          <w:lang w:val="el-GR"/>
        </w:rPr>
        <w:t>Β</w:t>
      </w:r>
      <w:r w:rsidRPr="00C50D68">
        <w:rPr>
          <w:rFonts w:cstheme="minorHAnsi"/>
          <w:sz w:val="24"/>
          <w:szCs w:val="24"/>
        </w:rPr>
        <w:t>, Consolaro</w:t>
      </w:r>
      <w:r w:rsidRPr="007C1A3D">
        <w:rPr>
          <w:rFonts w:cstheme="minorHAnsi"/>
          <w:sz w:val="24"/>
          <w:szCs w:val="24"/>
        </w:rPr>
        <w:t xml:space="preserve"> </w:t>
      </w:r>
      <w:r w:rsidRPr="00C50D68">
        <w:rPr>
          <w:rFonts w:cstheme="minorHAnsi"/>
          <w:sz w:val="24"/>
          <w:szCs w:val="24"/>
          <w:lang w:val="el-GR"/>
        </w:rPr>
        <w:t>Α</w:t>
      </w:r>
      <w:r w:rsidRPr="00C50D68">
        <w:rPr>
          <w:rFonts w:cstheme="minorHAnsi"/>
          <w:sz w:val="24"/>
          <w:szCs w:val="24"/>
        </w:rPr>
        <w:t xml:space="preserve">, Martini </w:t>
      </w:r>
      <w:r w:rsidRPr="00C50D68">
        <w:rPr>
          <w:rFonts w:cstheme="minorHAnsi"/>
          <w:sz w:val="24"/>
          <w:szCs w:val="24"/>
          <w:lang w:val="el-GR"/>
        </w:rPr>
        <w:t>Α</w:t>
      </w:r>
      <w:r w:rsidRPr="00C50D68">
        <w:rPr>
          <w:rFonts w:cstheme="minorHAnsi"/>
          <w:sz w:val="24"/>
          <w:szCs w:val="24"/>
        </w:rPr>
        <w:t xml:space="preserve">. </w:t>
      </w:r>
      <w:r w:rsidRPr="00C50D68">
        <w:rPr>
          <w:rFonts w:cstheme="minorHAnsi"/>
          <w:bCs/>
          <w:sz w:val="24"/>
          <w:szCs w:val="24"/>
        </w:rPr>
        <w:t xml:space="preserve">Glucocorticoids in paediatric rheumatology. </w:t>
      </w:r>
      <w:r w:rsidRPr="00C50D68">
        <w:rPr>
          <w:rFonts w:cstheme="minorHAnsi"/>
          <w:iCs/>
          <w:sz w:val="24"/>
          <w:szCs w:val="24"/>
        </w:rPr>
        <w:t>Clin</w:t>
      </w:r>
      <w:r>
        <w:rPr>
          <w:rFonts w:cstheme="minorHAnsi"/>
          <w:iCs/>
          <w:sz w:val="24"/>
          <w:szCs w:val="24"/>
          <w:lang w:val="el-GR"/>
        </w:rPr>
        <w:t xml:space="preserve"> </w:t>
      </w:r>
      <w:r w:rsidRPr="00C50D68">
        <w:rPr>
          <w:rFonts w:cstheme="minorHAnsi"/>
          <w:iCs/>
          <w:sz w:val="24"/>
          <w:szCs w:val="24"/>
        </w:rPr>
        <w:t>Exp</w:t>
      </w:r>
      <w:r>
        <w:rPr>
          <w:rFonts w:cstheme="minorHAnsi"/>
          <w:iCs/>
          <w:sz w:val="24"/>
          <w:szCs w:val="24"/>
          <w:lang w:val="el-GR"/>
        </w:rPr>
        <w:t xml:space="preserve"> </w:t>
      </w:r>
      <w:r w:rsidRPr="00C50D68">
        <w:rPr>
          <w:rFonts w:cstheme="minorHAnsi"/>
          <w:iCs/>
          <w:sz w:val="24"/>
          <w:szCs w:val="24"/>
        </w:rPr>
        <w:t>Rheumatol 2011; 29 (Suppl. 68):S148-52.</w:t>
      </w:r>
    </w:p>
    <w:p w:rsidR="00B70081" w:rsidRPr="007C1A3D" w:rsidRDefault="00B70081" w:rsidP="007C1A3D">
      <w:pPr>
        <w:pStyle w:val="ListParagraph"/>
        <w:numPr>
          <w:ilvl w:val="0"/>
          <w:numId w:val="39"/>
        </w:numPr>
        <w:tabs>
          <w:tab w:val="left" w:pos="284"/>
          <w:tab w:val="left" w:pos="426"/>
        </w:tabs>
        <w:jc w:val="both"/>
        <w:rPr>
          <w:bCs/>
        </w:rPr>
      </w:pPr>
      <w:r w:rsidRPr="007C1A3D">
        <w:rPr>
          <w:rFonts w:cstheme="minorHAnsi"/>
          <w:bCs/>
          <w:sz w:val="24"/>
          <w:szCs w:val="24"/>
        </w:rPr>
        <w:t>Ruth N M,Passo MH. Juvenile idiopathic arthritis: management and therapeutic options.Ther</w:t>
      </w:r>
      <w:r w:rsidR="007C1A3D" w:rsidRPr="007C1A3D">
        <w:rPr>
          <w:rFonts w:cstheme="minorHAnsi"/>
          <w:bCs/>
          <w:sz w:val="24"/>
          <w:szCs w:val="24"/>
        </w:rPr>
        <w:t xml:space="preserve"> </w:t>
      </w:r>
      <w:r w:rsidRPr="007C1A3D">
        <w:rPr>
          <w:rFonts w:cstheme="minorHAnsi"/>
          <w:bCs/>
          <w:sz w:val="24"/>
          <w:szCs w:val="24"/>
        </w:rPr>
        <w:t>Adv</w:t>
      </w:r>
      <w:r w:rsidR="007C1A3D" w:rsidRPr="007C1A3D">
        <w:rPr>
          <w:rFonts w:cstheme="minorHAnsi"/>
          <w:bCs/>
          <w:sz w:val="24"/>
          <w:szCs w:val="24"/>
        </w:rPr>
        <w:t xml:space="preserve"> </w:t>
      </w:r>
      <w:r w:rsidRPr="007C1A3D">
        <w:rPr>
          <w:rFonts w:cstheme="minorHAnsi"/>
          <w:bCs/>
          <w:sz w:val="24"/>
          <w:szCs w:val="24"/>
        </w:rPr>
        <w:t>Musculoskel Dis 2012;4: 99–110</w:t>
      </w:r>
    </w:p>
    <w:p w:rsidR="007C1A3D" w:rsidRPr="007C1A3D" w:rsidRDefault="007C1A3D" w:rsidP="007C1A3D">
      <w:pPr>
        <w:pStyle w:val="ListParagraph"/>
        <w:numPr>
          <w:ilvl w:val="0"/>
          <w:numId w:val="39"/>
        </w:numPr>
        <w:tabs>
          <w:tab w:val="left" w:pos="284"/>
          <w:tab w:val="left" w:pos="426"/>
        </w:tabs>
        <w:jc w:val="both"/>
        <w:rPr>
          <w:bCs/>
        </w:rPr>
      </w:pPr>
      <w:r w:rsidRPr="007C1A3D">
        <w:rPr>
          <w:rFonts w:cstheme="minorHAnsi"/>
          <w:sz w:val="24"/>
          <w:szCs w:val="24"/>
        </w:rPr>
        <w:t>Imagawa T, Yokota S, Mori M, Miyamae T, Takei S, Imanaka H, et al. Safety and efficacy of tocilizumab, an anti-IL-6-receptor monoclonal antibody, in patients with polyarticular-course juvenile idiopathic arthritis. Mod Rheumatol. 2012;</w:t>
      </w:r>
      <w:r w:rsidR="00F96D85">
        <w:rPr>
          <w:rFonts w:cstheme="minorHAnsi"/>
          <w:sz w:val="24"/>
          <w:szCs w:val="24"/>
          <w:lang w:val="el-GR"/>
        </w:rPr>
        <w:t xml:space="preserve"> </w:t>
      </w:r>
      <w:r w:rsidRPr="007C1A3D">
        <w:rPr>
          <w:rFonts w:cstheme="minorHAnsi"/>
          <w:sz w:val="24"/>
          <w:szCs w:val="24"/>
        </w:rPr>
        <w:t>22:109–15.</w:t>
      </w:r>
    </w:p>
    <w:p w:rsidR="007C1A3D" w:rsidRPr="00C50D68" w:rsidRDefault="007C1A3D" w:rsidP="007C1A3D">
      <w:pPr>
        <w:pStyle w:val="ListParagraph"/>
        <w:numPr>
          <w:ilvl w:val="0"/>
          <w:numId w:val="39"/>
        </w:numPr>
        <w:tabs>
          <w:tab w:val="left" w:pos="426"/>
        </w:tabs>
        <w:spacing w:after="0"/>
        <w:jc w:val="both"/>
        <w:rPr>
          <w:rFonts w:cstheme="minorHAnsi"/>
          <w:sz w:val="24"/>
          <w:szCs w:val="24"/>
        </w:rPr>
      </w:pPr>
      <w:r w:rsidRPr="00C50D68">
        <w:rPr>
          <w:rFonts w:cstheme="minorHAnsi"/>
          <w:sz w:val="24"/>
          <w:szCs w:val="24"/>
        </w:rPr>
        <w:t>Gurion R, Singer NG.Tocilizumab in Pediatric Rheumatology: The Clinical Experience.CurrRheumatol Rep 2013; 15:338. DOI 10.1007/s11926-013-0338-y</w:t>
      </w:r>
    </w:p>
    <w:p w:rsidR="007C1A3D" w:rsidRPr="00C50D68" w:rsidRDefault="007C1A3D" w:rsidP="007C1A3D">
      <w:pPr>
        <w:pStyle w:val="ListParagraph"/>
        <w:numPr>
          <w:ilvl w:val="0"/>
          <w:numId w:val="39"/>
        </w:numPr>
        <w:tabs>
          <w:tab w:val="left" w:pos="284"/>
          <w:tab w:val="left" w:pos="426"/>
        </w:tabs>
        <w:spacing w:after="0"/>
        <w:jc w:val="both"/>
        <w:rPr>
          <w:rFonts w:cstheme="minorHAnsi"/>
          <w:sz w:val="24"/>
          <w:szCs w:val="24"/>
        </w:rPr>
      </w:pPr>
      <w:r w:rsidRPr="00C50D68">
        <w:rPr>
          <w:rFonts w:cstheme="minorHAnsi"/>
          <w:sz w:val="24"/>
          <w:szCs w:val="24"/>
        </w:rPr>
        <w:t>Tse S, Burgos-Vargas R, Colbert RA. Juvenile Spondyloarthritis Treatment Recommendations. Am</w:t>
      </w:r>
      <w:r w:rsidR="00F96D85" w:rsidRPr="00C420D2">
        <w:rPr>
          <w:rFonts w:cstheme="minorHAnsi"/>
          <w:sz w:val="24"/>
          <w:szCs w:val="24"/>
        </w:rPr>
        <w:t xml:space="preserve"> </w:t>
      </w:r>
      <w:r w:rsidRPr="00C50D68">
        <w:rPr>
          <w:rFonts w:cstheme="minorHAnsi"/>
          <w:sz w:val="24"/>
          <w:szCs w:val="24"/>
        </w:rPr>
        <w:t>J</w:t>
      </w:r>
      <w:r w:rsidR="00F96D85" w:rsidRPr="00C420D2">
        <w:rPr>
          <w:rFonts w:cstheme="minorHAnsi"/>
          <w:sz w:val="24"/>
          <w:szCs w:val="24"/>
        </w:rPr>
        <w:t xml:space="preserve"> </w:t>
      </w:r>
      <w:r w:rsidRPr="00C50D68">
        <w:rPr>
          <w:rFonts w:cstheme="minorHAnsi"/>
          <w:sz w:val="24"/>
          <w:szCs w:val="24"/>
        </w:rPr>
        <w:t>Med</w:t>
      </w:r>
      <w:r w:rsidR="00F96D85" w:rsidRPr="00C420D2">
        <w:rPr>
          <w:rFonts w:cstheme="minorHAnsi"/>
          <w:sz w:val="24"/>
          <w:szCs w:val="24"/>
        </w:rPr>
        <w:t xml:space="preserve"> </w:t>
      </w:r>
      <w:r w:rsidRPr="00C50D68">
        <w:rPr>
          <w:rFonts w:cstheme="minorHAnsi"/>
          <w:sz w:val="24"/>
          <w:szCs w:val="24"/>
        </w:rPr>
        <w:t>Sci 2012; 343: 367–70.</w:t>
      </w:r>
    </w:p>
    <w:p w:rsidR="007C1A3D" w:rsidRPr="00C50D68" w:rsidRDefault="007C1A3D" w:rsidP="007C1A3D">
      <w:pPr>
        <w:pStyle w:val="ListParagraph"/>
        <w:numPr>
          <w:ilvl w:val="0"/>
          <w:numId w:val="39"/>
        </w:numPr>
        <w:tabs>
          <w:tab w:val="left" w:pos="426"/>
        </w:tabs>
        <w:spacing w:after="0"/>
        <w:jc w:val="both"/>
        <w:rPr>
          <w:rFonts w:cstheme="minorHAnsi"/>
          <w:sz w:val="24"/>
          <w:szCs w:val="24"/>
        </w:rPr>
      </w:pPr>
      <w:r w:rsidRPr="00C50D68">
        <w:rPr>
          <w:rFonts w:cstheme="minorHAnsi"/>
          <w:sz w:val="24"/>
          <w:szCs w:val="24"/>
        </w:rPr>
        <w:t>Dewitt EM, Kimura Y, Beukelman T, Nigrovic P, Onel K, Prahalad S, et al. Consensus Treatment Plans for New-Onset Systemic Juvenile Idiopathic Arthritis. Arthritis Care &amp; Research 2012; 64: 1001-10.</w:t>
      </w:r>
    </w:p>
    <w:p w:rsidR="007C1A3D" w:rsidRPr="00C50D68" w:rsidRDefault="007C1A3D" w:rsidP="007C1A3D">
      <w:pPr>
        <w:pStyle w:val="ListParagraph"/>
        <w:numPr>
          <w:ilvl w:val="0"/>
          <w:numId w:val="39"/>
        </w:numPr>
        <w:tabs>
          <w:tab w:val="left" w:pos="426"/>
        </w:tabs>
        <w:spacing w:after="0"/>
        <w:jc w:val="both"/>
        <w:rPr>
          <w:rFonts w:cstheme="minorHAnsi"/>
          <w:sz w:val="24"/>
          <w:szCs w:val="24"/>
        </w:rPr>
      </w:pPr>
      <w:r w:rsidRPr="00C50D68">
        <w:rPr>
          <w:rFonts w:cstheme="minorHAnsi"/>
          <w:sz w:val="24"/>
          <w:szCs w:val="24"/>
        </w:rPr>
        <w:t>Qian</w:t>
      </w:r>
      <w:r w:rsidRPr="00C420D2">
        <w:rPr>
          <w:rFonts w:cstheme="minorHAnsi"/>
          <w:sz w:val="24"/>
          <w:szCs w:val="24"/>
        </w:rPr>
        <w:t xml:space="preserve"> </w:t>
      </w:r>
      <w:r w:rsidRPr="00C50D68">
        <w:rPr>
          <w:rFonts w:cstheme="minorHAnsi"/>
          <w:sz w:val="24"/>
          <w:szCs w:val="24"/>
        </w:rPr>
        <w:t>Y,</w:t>
      </w:r>
      <w:r w:rsidRPr="00C420D2">
        <w:rPr>
          <w:rFonts w:cstheme="minorHAnsi"/>
          <w:sz w:val="24"/>
          <w:szCs w:val="24"/>
        </w:rPr>
        <w:t xml:space="preserve"> </w:t>
      </w:r>
      <w:r w:rsidRPr="00C50D68">
        <w:rPr>
          <w:rFonts w:cstheme="minorHAnsi"/>
          <w:sz w:val="24"/>
          <w:szCs w:val="24"/>
        </w:rPr>
        <w:t>Acharya NR. Juvenile idiopathic arthritis associ</w:t>
      </w:r>
      <w:r w:rsidRPr="00C50D68">
        <w:rPr>
          <w:rFonts w:cstheme="minorHAnsi"/>
          <w:sz w:val="24"/>
          <w:szCs w:val="24"/>
        </w:rPr>
        <w:softHyphen/>
        <w:t>ated uveitis. Curr</w:t>
      </w:r>
      <w:r w:rsidR="00F96D85">
        <w:rPr>
          <w:rFonts w:cstheme="minorHAnsi"/>
          <w:sz w:val="24"/>
          <w:szCs w:val="24"/>
          <w:lang w:val="el-GR"/>
        </w:rPr>
        <w:t xml:space="preserve"> </w:t>
      </w:r>
      <w:r w:rsidRPr="00C50D68">
        <w:rPr>
          <w:rFonts w:cstheme="minorHAnsi"/>
          <w:sz w:val="24"/>
          <w:szCs w:val="24"/>
        </w:rPr>
        <w:t>Opin</w:t>
      </w:r>
      <w:r w:rsidR="00F96D85">
        <w:rPr>
          <w:rFonts w:cstheme="minorHAnsi"/>
          <w:sz w:val="24"/>
          <w:szCs w:val="24"/>
          <w:lang w:val="el-GR"/>
        </w:rPr>
        <w:t xml:space="preserve"> </w:t>
      </w:r>
      <w:r w:rsidRPr="00C50D68">
        <w:rPr>
          <w:rFonts w:cstheme="minorHAnsi"/>
          <w:sz w:val="24"/>
          <w:szCs w:val="24"/>
        </w:rPr>
        <w:t xml:space="preserve">Ophthalmol 2010; 21:468-72 </w:t>
      </w:r>
    </w:p>
    <w:p w:rsidR="007C1A3D" w:rsidRPr="00C50D68" w:rsidRDefault="007C1A3D" w:rsidP="007C1A3D">
      <w:pPr>
        <w:pStyle w:val="ListParagraph"/>
        <w:numPr>
          <w:ilvl w:val="0"/>
          <w:numId w:val="39"/>
        </w:numPr>
        <w:tabs>
          <w:tab w:val="left" w:pos="426"/>
        </w:tabs>
        <w:spacing w:after="0"/>
        <w:jc w:val="both"/>
        <w:rPr>
          <w:rFonts w:cstheme="minorHAnsi"/>
          <w:bCs/>
          <w:sz w:val="24"/>
          <w:szCs w:val="24"/>
        </w:rPr>
      </w:pPr>
      <w:r w:rsidRPr="00C50D68">
        <w:rPr>
          <w:rFonts w:cstheme="minorHAnsi"/>
          <w:iCs/>
          <w:sz w:val="24"/>
          <w:szCs w:val="24"/>
        </w:rPr>
        <w:t xml:space="preserve">Ozdal P, Tutkun IT. </w:t>
      </w:r>
      <w:r w:rsidRPr="00C50D68">
        <w:rPr>
          <w:rFonts w:cstheme="minorHAnsi"/>
          <w:bCs/>
          <w:sz w:val="24"/>
          <w:szCs w:val="24"/>
        </w:rPr>
        <w:t>Inflammatory Eye Disease in Children with Chronic Arthritis. Ann Paediatr</w:t>
      </w:r>
      <w:r w:rsidR="00F96D85">
        <w:rPr>
          <w:rFonts w:cstheme="minorHAnsi"/>
          <w:bCs/>
          <w:sz w:val="24"/>
          <w:szCs w:val="24"/>
          <w:lang w:val="el-GR"/>
        </w:rPr>
        <w:t xml:space="preserve"> </w:t>
      </w:r>
      <w:r w:rsidRPr="00C50D68">
        <w:rPr>
          <w:rFonts w:cstheme="minorHAnsi"/>
          <w:bCs/>
          <w:sz w:val="24"/>
          <w:szCs w:val="24"/>
        </w:rPr>
        <w:t>Rheumatol 2013;Vol 2, Issue:2, 62-77.</w:t>
      </w:r>
    </w:p>
    <w:p w:rsidR="007C1A3D" w:rsidRPr="00C50D68" w:rsidRDefault="007C1A3D" w:rsidP="007C1A3D">
      <w:pPr>
        <w:pStyle w:val="ListParagraph"/>
        <w:numPr>
          <w:ilvl w:val="0"/>
          <w:numId w:val="39"/>
        </w:numPr>
        <w:tabs>
          <w:tab w:val="left" w:pos="284"/>
          <w:tab w:val="left" w:pos="426"/>
        </w:tabs>
        <w:spacing w:after="0"/>
        <w:jc w:val="both"/>
        <w:rPr>
          <w:rFonts w:cstheme="minorHAnsi"/>
          <w:sz w:val="24"/>
          <w:szCs w:val="24"/>
        </w:rPr>
      </w:pPr>
      <w:r w:rsidRPr="00C50D68">
        <w:rPr>
          <w:rFonts w:cstheme="minorHAnsi"/>
          <w:iCs/>
          <w:sz w:val="24"/>
          <w:szCs w:val="24"/>
        </w:rPr>
        <w:t>Gregory AC,Kempen JH, Daniel E, Kaçmaz RO, Fos</w:t>
      </w:r>
      <w:r w:rsidRPr="00C50D68">
        <w:rPr>
          <w:rFonts w:cstheme="minorHAnsi"/>
          <w:iCs/>
          <w:sz w:val="24"/>
          <w:szCs w:val="24"/>
        </w:rPr>
        <w:softHyphen/>
        <w:t>ter CS, Jabs DA, et al. Risk factors for loss of visual acu</w:t>
      </w:r>
      <w:r w:rsidRPr="00C50D68">
        <w:rPr>
          <w:rFonts w:cstheme="minorHAnsi"/>
          <w:iCs/>
          <w:sz w:val="24"/>
          <w:szCs w:val="24"/>
        </w:rPr>
        <w:softHyphen/>
        <w:t>ity among patients with uveitis associated with juvenile idiopathic arthritis: the Systemic Immunosuppressive Therapy for Eye Diseases Study. Ophthalmology 2013; 120:186-92.</w:t>
      </w:r>
    </w:p>
    <w:p w:rsidR="007C1A3D" w:rsidRPr="00C50D68" w:rsidRDefault="007C1A3D" w:rsidP="007C1A3D">
      <w:pPr>
        <w:pStyle w:val="ListParagraph"/>
        <w:numPr>
          <w:ilvl w:val="0"/>
          <w:numId w:val="39"/>
        </w:numPr>
        <w:tabs>
          <w:tab w:val="left" w:pos="426"/>
        </w:tabs>
        <w:spacing w:after="0"/>
        <w:jc w:val="both"/>
        <w:rPr>
          <w:rFonts w:cstheme="minorHAnsi"/>
          <w:iCs/>
          <w:sz w:val="24"/>
          <w:szCs w:val="24"/>
        </w:rPr>
      </w:pPr>
      <w:r w:rsidRPr="00C50D68">
        <w:rPr>
          <w:rFonts w:cstheme="minorHAnsi"/>
          <w:iCs/>
          <w:sz w:val="24"/>
          <w:szCs w:val="24"/>
        </w:rPr>
        <w:t>Heiligenhaus</w:t>
      </w:r>
      <w:r w:rsidR="00BC571C" w:rsidRPr="00BC571C">
        <w:rPr>
          <w:rFonts w:cstheme="minorHAnsi"/>
          <w:iCs/>
          <w:sz w:val="24"/>
          <w:szCs w:val="24"/>
        </w:rPr>
        <w:t xml:space="preserve"> </w:t>
      </w:r>
      <w:r w:rsidRPr="00C50D68">
        <w:rPr>
          <w:rFonts w:cstheme="minorHAnsi"/>
          <w:iCs/>
          <w:sz w:val="24"/>
          <w:szCs w:val="24"/>
        </w:rPr>
        <w:t>A,</w:t>
      </w:r>
      <w:r w:rsidR="00BC571C" w:rsidRPr="00BC571C">
        <w:rPr>
          <w:rFonts w:cstheme="minorHAnsi"/>
          <w:iCs/>
          <w:sz w:val="24"/>
          <w:szCs w:val="24"/>
        </w:rPr>
        <w:t xml:space="preserve"> </w:t>
      </w:r>
      <w:r w:rsidRPr="00C50D68">
        <w:rPr>
          <w:rFonts w:cstheme="minorHAnsi"/>
          <w:iCs/>
          <w:sz w:val="24"/>
          <w:szCs w:val="24"/>
        </w:rPr>
        <w:t>Michels H, Schumacher C, Kopp I, Neu</w:t>
      </w:r>
      <w:r w:rsidRPr="00C50D68">
        <w:rPr>
          <w:rFonts w:cstheme="minorHAnsi"/>
          <w:iCs/>
          <w:sz w:val="24"/>
          <w:szCs w:val="24"/>
        </w:rPr>
        <w:softHyphen/>
        <w:t>dorf U, Niehues T, et al. Evidence-based, interdisciplinary guidelines for anti-inflammatory treatment of uveitis as</w:t>
      </w:r>
      <w:r w:rsidRPr="00C50D68">
        <w:rPr>
          <w:rFonts w:cstheme="minorHAnsi"/>
          <w:iCs/>
          <w:sz w:val="24"/>
          <w:szCs w:val="24"/>
        </w:rPr>
        <w:softHyphen/>
        <w:t>sociated with juvenile idiopathic arthritis. Rheumatol Int 2012; 32:1121-33.</w:t>
      </w:r>
    </w:p>
    <w:p w:rsidR="007C1A3D" w:rsidRPr="00B70081" w:rsidRDefault="00BC571C" w:rsidP="007C1A3D">
      <w:pPr>
        <w:pStyle w:val="ListParagraph"/>
        <w:numPr>
          <w:ilvl w:val="0"/>
          <w:numId w:val="39"/>
        </w:numPr>
        <w:tabs>
          <w:tab w:val="left" w:pos="284"/>
          <w:tab w:val="left" w:pos="426"/>
        </w:tabs>
        <w:spacing w:after="0"/>
        <w:jc w:val="both"/>
        <w:rPr>
          <w:rFonts w:cstheme="minorHAnsi"/>
          <w:iCs/>
          <w:sz w:val="24"/>
          <w:szCs w:val="24"/>
        </w:rPr>
      </w:pPr>
      <w:r w:rsidRPr="00BC571C">
        <w:rPr>
          <w:rFonts w:cstheme="minorHAnsi"/>
          <w:bCs/>
          <w:iCs/>
          <w:sz w:val="24"/>
          <w:szCs w:val="24"/>
        </w:rPr>
        <w:t xml:space="preserve"> </w:t>
      </w:r>
      <w:r w:rsidR="007C1A3D" w:rsidRPr="00C50D68">
        <w:rPr>
          <w:rFonts w:cstheme="minorHAnsi"/>
          <w:bCs/>
          <w:iCs/>
          <w:sz w:val="24"/>
          <w:szCs w:val="24"/>
        </w:rPr>
        <w:t xml:space="preserve">Ravelli A. Macrophage activation Syndrome. </w:t>
      </w:r>
      <w:r w:rsidR="007C1A3D" w:rsidRPr="00C50D68">
        <w:rPr>
          <w:rFonts w:cstheme="minorHAnsi"/>
          <w:sz w:val="24"/>
          <w:szCs w:val="24"/>
        </w:rPr>
        <w:t>emedicine.medscape.com</w:t>
      </w:r>
      <w:r w:rsidR="007C1A3D" w:rsidRPr="007C1A3D">
        <w:rPr>
          <w:rFonts w:cstheme="minorHAnsi"/>
          <w:sz w:val="24"/>
          <w:szCs w:val="24"/>
        </w:rPr>
        <w:t xml:space="preserve"> </w:t>
      </w:r>
      <w:r w:rsidR="007C1A3D" w:rsidRPr="00B70081">
        <w:rPr>
          <w:rFonts w:cstheme="minorHAnsi"/>
          <w:sz w:val="24"/>
          <w:szCs w:val="24"/>
        </w:rPr>
        <w:t>/article/1380671-overview</w:t>
      </w:r>
      <w:r w:rsidR="007C1A3D" w:rsidRPr="00B70081">
        <w:rPr>
          <w:rFonts w:cstheme="minorHAnsi"/>
          <w:bCs/>
          <w:iCs/>
          <w:sz w:val="24"/>
          <w:szCs w:val="24"/>
        </w:rPr>
        <w:t xml:space="preserve">. </w:t>
      </w:r>
      <w:r w:rsidR="007C1A3D" w:rsidRPr="00B70081">
        <w:rPr>
          <w:rFonts w:cstheme="minorHAnsi"/>
          <w:sz w:val="24"/>
          <w:szCs w:val="24"/>
        </w:rPr>
        <w:t xml:space="preserve">Accessed: 20 July 2012 </w:t>
      </w:r>
    </w:p>
    <w:p w:rsidR="003818B5" w:rsidRPr="007C1A3D" w:rsidRDefault="003818B5" w:rsidP="007C1A3D">
      <w:pPr>
        <w:tabs>
          <w:tab w:val="left" w:pos="284"/>
          <w:tab w:val="left" w:pos="426"/>
        </w:tabs>
        <w:jc w:val="both"/>
        <w:rPr>
          <w:rFonts w:cstheme="minorHAnsi"/>
          <w:bCs/>
          <w:sz w:val="24"/>
          <w:szCs w:val="24"/>
          <w:highlight w:val="yellow"/>
        </w:rPr>
      </w:pPr>
    </w:p>
    <w:p w:rsidR="00DF2F93" w:rsidRPr="00B70081" w:rsidRDefault="00DF2F93" w:rsidP="001A28AD">
      <w:pPr>
        <w:tabs>
          <w:tab w:val="left" w:pos="284"/>
          <w:tab w:val="left" w:pos="426"/>
        </w:tabs>
        <w:jc w:val="both"/>
        <w:rPr>
          <w:rFonts w:cstheme="minorHAnsi"/>
          <w:sz w:val="24"/>
          <w:szCs w:val="24"/>
          <w:lang w:val="en-US" w:bidi="en-US"/>
        </w:rPr>
      </w:pPr>
    </w:p>
    <w:p w:rsidR="002356EC" w:rsidRDefault="002356EC" w:rsidP="001A28AD">
      <w:pPr>
        <w:tabs>
          <w:tab w:val="left" w:pos="284"/>
          <w:tab w:val="left" w:pos="426"/>
        </w:tabs>
        <w:jc w:val="both"/>
        <w:rPr>
          <w:rFonts w:cstheme="minorHAnsi"/>
          <w:sz w:val="24"/>
          <w:szCs w:val="24"/>
          <w:lang w:val="en-US" w:bidi="en-US"/>
        </w:rPr>
      </w:pPr>
    </w:p>
    <w:p w:rsidR="002356EC" w:rsidRPr="00FA0E6F" w:rsidRDefault="002356EC" w:rsidP="002356EC">
      <w:pPr>
        <w:tabs>
          <w:tab w:val="left" w:pos="284"/>
          <w:tab w:val="left" w:pos="426"/>
        </w:tabs>
        <w:ind w:left="9073"/>
        <w:jc w:val="both"/>
        <w:rPr>
          <w:rFonts w:cstheme="minorHAnsi"/>
          <w:sz w:val="24"/>
          <w:szCs w:val="24"/>
          <w:lang w:bidi="en-US"/>
        </w:rPr>
      </w:pPr>
      <w:r w:rsidRPr="00FA0E6F">
        <w:rPr>
          <w:rFonts w:cstheme="minorHAnsi"/>
          <w:sz w:val="24"/>
          <w:szCs w:val="24"/>
          <w:lang w:bidi="en-US"/>
        </w:rPr>
        <w:t>.</w:t>
      </w:r>
    </w:p>
    <w:p w:rsidR="000A2E25" w:rsidRDefault="000A2E25">
      <w:pPr>
        <w:rPr>
          <w:rFonts w:cstheme="minorHAnsi"/>
          <w:sz w:val="24"/>
          <w:szCs w:val="24"/>
          <w:lang w:bidi="en-US"/>
        </w:rPr>
      </w:pPr>
      <w:r>
        <w:rPr>
          <w:rFonts w:cstheme="minorHAnsi"/>
          <w:sz w:val="24"/>
          <w:szCs w:val="24"/>
          <w:lang w:bidi="en-US"/>
        </w:rPr>
        <w:br w:type="page"/>
      </w:r>
    </w:p>
    <w:p w:rsidR="002356EC" w:rsidRPr="00FA0E6F" w:rsidRDefault="002356EC" w:rsidP="001A28AD">
      <w:pPr>
        <w:tabs>
          <w:tab w:val="left" w:pos="284"/>
          <w:tab w:val="left" w:pos="426"/>
        </w:tabs>
        <w:jc w:val="both"/>
        <w:rPr>
          <w:rFonts w:cstheme="minorHAnsi"/>
          <w:sz w:val="24"/>
          <w:szCs w:val="24"/>
          <w:lang w:bidi="en-US"/>
        </w:rPr>
      </w:pPr>
    </w:p>
    <w:p w:rsidR="00BF1E5C" w:rsidRPr="00FA0E6F" w:rsidRDefault="00BF1E5C" w:rsidP="001A28AD">
      <w:pPr>
        <w:tabs>
          <w:tab w:val="left" w:pos="284"/>
          <w:tab w:val="left" w:pos="426"/>
        </w:tabs>
        <w:jc w:val="both"/>
        <w:rPr>
          <w:rFonts w:cstheme="minorHAnsi"/>
          <w:sz w:val="24"/>
          <w:szCs w:val="24"/>
          <w:lang w:bidi="en-US"/>
        </w:rPr>
      </w:pPr>
    </w:p>
    <w:p w:rsidR="0012764A" w:rsidRPr="00FA0E6F" w:rsidRDefault="0012764A" w:rsidP="001A28AD">
      <w:pPr>
        <w:tabs>
          <w:tab w:val="left" w:pos="284"/>
          <w:tab w:val="left" w:pos="426"/>
        </w:tabs>
        <w:jc w:val="both"/>
        <w:rPr>
          <w:rFonts w:cstheme="minorHAnsi"/>
          <w:sz w:val="24"/>
          <w:szCs w:val="24"/>
        </w:rPr>
      </w:pPr>
    </w:p>
    <w:p w:rsidR="001A28AD" w:rsidRPr="00FA0E6F" w:rsidRDefault="001A28AD" w:rsidP="001A28AD">
      <w:pPr>
        <w:tabs>
          <w:tab w:val="left" w:pos="284"/>
          <w:tab w:val="left" w:pos="426"/>
        </w:tabs>
        <w:jc w:val="both"/>
        <w:rPr>
          <w:rFonts w:cstheme="minorHAnsi"/>
          <w:sz w:val="24"/>
          <w:szCs w:val="24"/>
        </w:rPr>
      </w:pPr>
    </w:p>
    <w:p w:rsidR="001A28AD" w:rsidRPr="00FA0E6F" w:rsidRDefault="001A28AD" w:rsidP="001A28AD">
      <w:pPr>
        <w:jc w:val="both"/>
        <w:rPr>
          <w:rFonts w:cstheme="minorHAnsi"/>
          <w:sz w:val="24"/>
          <w:szCs w:val="24"/>
        </w:rPr>
      </w:pPr>
    </w:p>
    <w:p w:rsidR="001A28AD" w:rsidRPr="00FA0E6F" w:rsidRDefault="001A28AD" w:rsidP="001A28AD">
      <w:pPr>
        <w:tabs>
          <w:tab w:val="left" w:pos="284"/>
          <w:tab w:val="left" w:pos="426"/>
        </w:tabs>
        <w:jc w:val="both"/>
        <w:rPr>
          <w:rFonts w:cstheme="minorHAnsi"/>
          <w:b/>
          <w:sz w:val="24"/>
          <w:szCs w:val="24"/>
        </w:rPr>
      </w:pPr>
    </w:p>
    <w:p w:rsidR="0003174F" w:rsidRPr="00BB41D6" w:rsidRDefault="0003174F" w:rsidP="0003174F">
      <w:pPr>
        <w:jc w:val="both"/>
        <w:rPr>
          <w:b/>
          <w:color w:val="000000" w:themeColor="text1"/>
          <w:vertAlign w:val="superscript"/>
        </w:rPr>
      </w:pPr>
      <w:r w:rsidRPr="00D974AB">
        <w:rPr>
          <w:b/>
        </w:rPr>
        <w:t>Πίνακας 1. Κατάταξη της Νεανικής Ιδιοπαθούς Αρθρίτιδας  (</w:t>
      </w:r>
      <w:r w:rsidRPr="00D974AB">
        <w:rPr>
          <w:b/>
          <w:lang w:bidi="en-US"/>
        </w:rPr>
        <w:t>NIA</w:t>
      </w:r>
      <w:r w:rsidRPr="00D974AB">
        <w:rPr>
          <w:b/>
        </w:rPr>
        <w:t xml:space="preserve">) κατά </w:t>
      </w:r>
      <w:r w:rsidRPr="00D974AB">
        <w:rPr>
          <w:b/>
          <w:lang w:bidi="en-US"/>
        </w:rPr>
        <w:t>ILAR</w:t>
      </w:r>
      <w:r w:rsidRPr="00D974AB">
        <w:rPr>
          <w:b/>
        </w:rPr>
        <w:t xml:space="preserve"> 2001 σε 7 κατηγορίες με βάση ορισμένα κλινικά και εργαστηριακά </w:t>
      </w:r>
      <w:r w:rsidRPr="00BB41D6">
        <w:rPr>
          <w:b/>
          <w:color w:val="000000" w:themeColor="text1"/>
        </w:rPr>
        <w:t xml:space="preserve">χαρακτηριστικά </w:t>
      </w:r>
      <w:r w:rsidRPr="00BB41D6">
        <w:rPr>
          <w:b/>
          <w:color w:val="000000" w:themeColor="text1"/>
          <w:vertAlign w:val="superscript"/>
        </w:rPr>
        <w:t>13</w:t>
      </w:r>
    </w:p>
    <w:p w:rsidR="00430295" w:rsidRPr="004E46E5" w:rsidRDefault="00430295" w:rsidP="0003174F">
      <w:pPr>
        <w:jc w:val="both"/>
        <w:rPr>
          <w:b/>
          <w:color w:val="FF0000"/>
          <w:vertAlign w:val="superscript"/>
        </w:rPr>
      </w:pPr>
    </w:p>
    <w:tbl>
      <w:tblPr>
        <w:tblW w:w="8755" w:type="dxa"/>
        <w:tblLook w:val="04A0" w:firstRow="1" w:lastRow="0" w:firstColumn="1" w:lastColumn="0" w:noHBand="0" w:noVBand="1"/>
      </w:tblPr>
      <w:tblGrid>
        <w:gridCol w:w="3510"/>
        <w:gridCol w:w="5245"/>
      </w:tblGrid>
      <w:tr w:rsidR="0003174F" w:rsidRPr="00A067A2" w:rsidTr="00430295">
        <w:trPr>
          <w:trHeight w:val="414"/>
        </w:trPr>
        <w:tc>
          <w:tcPr>
            <w:tcW w:w="3510" w:type="dxa"/>
            <w:tcBorders>
              <w:top w:val="single" w:sz="4" w:space="0" w:color="auto"/>
              <w:bottom w:val="single" w:sz="4" w:space="0" w:color="auto"/>
            </w:tcBorders>
          </w:tcPr>
          <w:p w:rsidR="0003174F" w:rsidRPr="00A067A2" w:rsidRDefault="0003174F" w:rsidP="004E5971">
            <w:pPr>
              <w:jc w:val="both"/>
              <w:rPr>
                <w:b/>
                <w:bCs/>
                <w:lang w:bidi="en-US"/>
              </w:rPr>
            </w:pPr>
            <w:r w:rsidRPr="00A067A2">
              <w:rPr>
                <w:b/>
                <w:bCs/>
                <w:lang w:bidi="en-US"/>
              </w:rPr>
              <w:t>Κατηγορία NIA</w:t>
            </w:r>
          </w:p>
        </w:tc>
        <w:tc>
          <w:tcPr>
            <w:tcW w:w="5245" w:type="dxa"/>
            <w:tcBorders>
              <w:top w:val="single" w:sz="4" w:space="0" w:color="auto"/>
              <w:bottom w:val="single" w:sz="4" w:space="0" w:color="auto"/>
            </w:tcBorders>
          </w:tcPr>
          <w:p w:rsidR="0003174F" w:rsidRPr="00A067A2" w:rsidRDefault="0003174F" w:rsidP="004E5971">
            <w:pPr>
              <w:jc w:val="both"/>
              <w:rPr>
                <w:b/>
                <w:bCs/>
                <w:lang w:bidi="en-US"/>
              </w:rPr>
            </w:pPr>
            <w:r w:rsidRPr="00A067A2">
              <w:rPr>
                <w:b/>
                <w:bCs/>
                <w:lang w:bidi="en-US"/>
              </w:rPr>
              <w:t>Κριτήρια  κατάταξης</w:t>
            </w:r>
          </w:p>
        </w:tc>
      </w:tr>
      <w:tr w:rsidR="0003174F" w:rsidRPr="00D974AB" w:rsidTr="00430295">
        <w:tc>
          <w:tcPr>
            <w:tcW w:w="3510" w:type="dxa"/>
            <w:tcBorders>
              <w:top w:val="single" w:sz="4" w:space="0" w:color="auto"/>
              <w:bottom w:val="nil"/>
            </w:tcBorders>
          </w:tcPr>
          <w:p w:rsidR="0003174F" w:rsidRPr="00A067A2" w:rsidRDefault="0003174F" w:rsidP="004E5971">
            <w:pPr>
              <w:numPr>
                <w:ilvl w:val="0"/>
                <w:numId w:val="3"/>
              </w:numPr>
              <w:jc w:val="both"/>
              <w:rPr>
                <w:bCs/>
                <w:lang w:bidi="en-US"/>
              </w:rPr>
            </w:pPr>
            <w:r w:rsidRPr="00A067A2">
              <w:rPr>
                <w:bCs/>
                <w:lang w:bidi="en-US"/>
              </w:rPr>
              <w:t>Ολιγοαρθρική ΝΙΑ</w:t>
            </w:r>
          </w:p>
        </w:tc>
        <w:tc>
          <w:tcPr>
            <w:tcW w:w="5245" w:type="dxa"/>
            <w:tcBorders>
              <w:top w:val="single" w:sz="4" w:space="0" w:color="auto"/>
              <w:bottom w:val="nil"/>
            </w:tcBorders>
          </w:tcPr>
          <w:p w:rsidR="0003174F" w:rsidRPr="00A067A2" w:rsidRDefault="0003174F" w:rsidP="004E5971">
            <w:pPr>
              <w:jc w:val="both"/>
              <w:rPr>
                <w:bCs/>
                <w:lang w:bidi="en-US"/>
              </w:rPr>
            </w:pPr>
            <w:r w:rsidRPr="00A067A2">
              <w:rPr>
                <w:bCs/>
                <w:lang w:bidi="en-US"/>
              </w:rPr>
              <w:t>ΝΙΑ  με προσβολή  4 ή λιγότερων αρθρώσεων  στο πρώτο εξάμηνο από την έναρξη της νόσου</w:t>
            </w:r>
          </w:p>
        </w:tc>
      </w:tr>
      <w:tr w:rsidR="0003174F" w:rsidRPr="00D974AB" w:rsidTr="0003174F">
        <w:trPr>
          <w:trHeight w:val="619"/>
        </w:trPr>
        <w:tc>
          <w:tcPr>
            <w:tcW w:w="3510" w:type="dxa"/>
            <w:tcBorders>
              <w:top w:val="nil"/>
              <w:bottom w:val="nil"/>
            </w:tcBorders>
          </w:tcPr>
          <w:p w:rsidR="0003174F" w:rsidRPr="00A067A2" w:rsidRDefault="0003174F" w:rsidP="003B23DC">
            <w:pPr>
              <w:jc w:val="both"/>
              <w:rPr>
                <w:bCs/>
                <w:lang w:bidi="en-US"/>
              </w:rPr>
            </w:pPr>
            <w:r w:rsidRPr="00A067A2">
              <w:rPr>
                <w:bCs/>
                <w:lang w:bidi="en-US"/>
              </w:rPr>
              <w:t xml:space="preserve">   </w:t>
            </w:r>
            <w:r w:rsidR="003B23DC">
              <w:rPr>
                <w:bCs/>
                <w:lang w:bidi="en-US"/>
              </w:rPr>
              <w:t xml:space="preserve">   </w:t>
            </w:r>
            <w:r w:rsidRPr="00A067A2">
              <w:rPr>
                <w:bCs/>
                <w:lang w:bidi="en-US"/>
              </w:rPr>
              <w:t>1α. Επίμονη ολιγοαρθρική</w:t>
            </w:r>
          </w:p>
        </w:tc>
        <w:tc>
          <w:tcPr>
            <w:tcW w:w="5245" w:type="dxa"/>
            <w:tcBorders>
              <w:top w:val="nil"/>
              <w:bottom w:val="nil"/>
            </w:tcBorders>
          </w:tcPr>
          <w:p w:rsidR="0003174F" w:rsidRPr="00A067A2" w:rsidRDefault="0003174F" w:rsidP="004E5971">
            <w:pPr>
              <w:jc w:val="both"/>
              <w:rPr>
                <w:bCs/>
                <w:lang w:bidi="en-US"/>
              </w:rPr>
            </w:pPr>
            <w:r w:rsidRPr="00A067A2">
              <w:rPr>
                <w:bCs/>
                <w:lang w:bidi="en-US"/>
              </w:rPr>
              <w:t>ΝΙΑ με προσβολή 4 ή λιγότερων αρθρώσεων σε όλη τη διάρκεια της νόσου</w:t>
            </w:r>
          </w:p>
        </w:tc>
      </w:tr>
      <w:tr w:rsidR="0003174F" w:rsidRPr="00D974AB" w:rsidTr="0003174F">
        <w:tc>
          <w:tcPr>
            <w:tcW w:w="3510" w:type="dxa"/>
            <w:tcBorders>
              <w:top w:val="nil"/>
            </w:tcBorders>
          </w:tcPr>
          <w:p w:rsidR="0003174F" w:rsidRPr="00A067A2" w:rsidRDefault="0003174F" w:rsidP="004E5971">
            <w:pPr>
              <w:jc w:val="both"/>
              <w:rPr>
                <w:bCs/>
                <w:lang w:bidi="en-US"/>
              </w:rPr>
            </w:pPr>
            <w:r w:rsidRPr="00A067A2">
              <w:rPr>
                <w:bCs/>
                <w:lang w:bidi="en-US"/>
              </w:rPr>
              <w:t xml:space="preserve">    </w:t>
            </w:r>
            <w:r w:rsidR="003B23DC">
              <w:rPr>
                <w:bCs/>
                <w:lang w:bidi="en-US"/>
              </w:rPr>
              <w:t xml:space="preserve">  </w:t>
            </w:r>
            <w:r w:rsidRPr="00A067A2">
              <w:rPr>
                <w:bCs/>
                <w:lang w:bidi="en-US"/>
              </w:rPr>
              <w:t>1β. Επεκταθείσα ολιγοαρθρική</w:t>
            </w:r>
          </w:p>
        </w:tc>
        <w:tc>
          <w:tcPr>
            <w:tcW w:w="5245" w:type="dxa"/>
            <w:tcBorders>
              <w:top w:val="nil"/>
            </w:tcBorders>
          </w:tcPr>
          <w:p w:rsidR="0003174F" w:rsidRPr="00A067A2" w:rsidRDefault="0003174F" w:rsidP="004E5971">
            <w:pPr>
              <w:jc w:val="both"/>
              <w:rPr>
                <w:bCs/>
                <w:lang w:bidi="en-US"/>
              </w:rPr>
            </w:pPr>
            <w:r w:rsidRPr="00A067A2">
              <w:rPr>
                <w:bCs/>
                <w:lang w:bidi="en-US"/>
              </w:rPr>
              <w:t>ΝΙΑ που αρχίζει ως ολιγοαρθρίτιδα,  αλλά επεκτείνεται σε&gt; 4 αρθρώσεις  μετά το πρώτο εξάμηνο από την έναρξη της νόσου</w:t>
            </w:r>
          </w:p>
        </w:tc>
      </w:tr>
      <w:tr w:rsidR="0003174F" w:rsidRPr="00D974AB" w:rsidTr="0003174F">
        <w:tc>
          <w:tcPr>
            <w:tcW w:w="3510" w:type="dxa"/>
          </w:tcPr>
          <w:p w:rsidR="0003174F" w:rsidRPr="00A067A2" w:rsidRDefault="0003174F" w:rsidP="004E5971">
            <w:pPr>
              <w:numPr>
                <w:ilvl w:val="0"/>
                <w:numId w:val="3"/>
              </w:numPr>
              <w:jc w:val="both"/>
              <w:rPr>
                <w:bCs/>
                <w:lang w:bidi="en-US"/>
              </w:rPr>
            </w:pPr>
            <w:r w:rsidRPr="00A067A2">
              <w:rPr>
                <w:bCs/>
                <w:lang w:bidi="en-US"/>
              </w:rPr>
              <w:t>Πολυαρθρική NIA, οροθετική ως προς τον ρευματοειδή παράγοντα  (RF)</w:t>
            </w:r>
          </w:p>
        </w:tc>
        <w:tc>
          <w:tcPr>
            <w:tcW w:w="5245" w:type="dxa"/>
          </w:tcPr>
          <w:p w:rsidR="0003174F" w:rsidRPr="00A067A2" w:rsidRDefault="0003174F" w:rsidP="004E5971">
            <w:pPr>
              <w:jc w:val="both"/>
              <w:rPr>
                <w:bCs/>
                <w:lang w:bidi="en-US"/>
              </w:rPr>
            </w:pPr>
            <w:r w:rsidRPr="00A067A2">
              <w:rPr>
                <w:bCs/>
                <w:lang w:bidi="en-US"/>
              </w:rPr>
              <w:t xml:space="preserve">ΝΙΑ με προσβολή τουλάχιστον 5 αρθρώσεων στο πρώτο εξάμηνο από την </w:t>
            </w:r>
            <w:r>
              <w:rPr>
                <w:bCs/>
                <w:lang w:bidi="en-US"/>
              </w:rPr>
              <w:t xml:space="preserve">έναρξη της νόσου και RF στον ορό </w:t>
            </w:r>
            <w:r w:rsidRPr="00A067A2">
              <w:rPr>
                <w:bCs/>
                <w:lang w:bidi="en-US"/>
              </w:rPr>
              <w:t>θετικό</w:t>
            </w:r>
          </w:p>
        </w:tc>
      </w:tr>
      <w:tr w:rsidR="0003174F" w:rsidRPr="00D974AB" w:rsidTr="004E5971">
        <w:tc>
          <w:tcPr>
            <w:tcW w:w="3510" w:type="dxa"/>
          </w:tcPr>
          <w:p w:rsidR="0003174F" w:rsidRPr="00A067A2" w:rsidRDefault="0003174F" w:rsidP="004E5971">
            <w:pPr>
              <w:numPr>
                <w:ilvl w:val="0"/>
                <w:numId w:val="3"/>
              </w:numPr>
              <w:jc w:val="both"/>
              <w:rPr>
                <w:bCs/>
                <w:lang w:bidi="en-US"/>
              </w:rPr>
            </w:pPr>
            <w:r w:rsidRPr="00A067A2">
              <w:rPr>
                <w:bCs/>
                <w:lang w:bidi="en-US"/>
              </w:rPr>
              <w:t xml:space="preserve">Πολυαρθρική NIA, οροαρνητική ως προς τον ρευματοειδή παράγοντα  (RF) </w:t>
            </w:r>
          </w:p>
        </w:tc>
        <w:tc>
          <w:tcPr>
            <w:tcW w:w="5245" w:type="dxa"/>
          </w:tcPr>
          <w:p w:rsidR="0003174F" w:rsidRPr="00A067A2" w:rsidRDefault="0003174F" w:rsidP="004E5971">
            <w:pPr>
              <w:jc w:val="both"/>
              <w:rPr>
                <w:bCs/>
                <w:lang w:bidi="en-US"/>
              </w:rPr>
            </w:pPr>
            <w:r w:rsidRPr="00A067A2">
              <w:rPr>
                <w:bCs/>
                <w:lang w:bidi="en-US"/>
              </w:rPr>
              <w:t>ΝΙΑ με προσβολή τουλάχιστον 5 αρθρώσεων στο πρώτο εξάμηνο από την έναρξη της νόσου και RF στον ορό αρνητικό</w:t>
            </w:r>
          </w:p>
        </w:tc>
      </w:tr>
      <w:tr w:rsidR="0003174F" w:rsidRPr="00D974AB" w:rsidTr="004E5971">
        <w:tc>
          <w:tcPr>
            <w:tcW w:w="3510" w:type="dxa"/>
          </w:tcPr>
          <w:p w:rsidR="0003174F" w:rsidRPr="00A067A2" w:rsidRDefault="0003174F" w:rsidP="004E5971">
            <w:pPr>
              <w:numPr>
                <w:ilvl w:val="0"/>
                <w:numId w:val="3"/>
              </w:numPr>
              <w:jc w:val="both"/>
              <w:rPr>
                <w:bCs/>
                <w:lang w:bidi="en-US"/>
              </w:rPr>
            </w:pPr>
            <w:r w:rsidRPr="00A067A2">
              <w:rPr>
                <w:bCs/>
                <w:lang w:bidi="en-US"/>
              </w:rPr>
              <w:t>Συστηματική ΝΙΑ</w:t>
            </w:r>
          </w:p>
        </w:tc>
        <w:tc>
          <w:tcPr>
            <w:tcW w:w="5245" w:type="dxa"/>
          </w:tcPr>
          <w:p w:rsidR="0003174F" w:rsidRPr="00A067A2" w:rsidRDefault="0003174F" w:rsidP="004E5971">
            <w:pPr>
              <w:jc w:val="both"/>
              <w:rPr>
                <w:bCs/>
                <w:lang w:bidi="en-US"/>
              </w:rPr>
            </w:pPr>
            <w:r w:rsidRPr="00A067A2">
              <w:rPr>
                <w:bCs/>
                <w:lang w:bidi="en-US"/>
              </w:rPr>
              <w:t>ΝΙΑ που αρχίζει με χαρακτηριστικό  πυρετό*, που συνοδεύεται από 1 ή περισσότερα από τα παρακάτω:</w:t>
            </w:r>
          </w:p>
          <w:p w:rsidR="0003174F" w:rsidRPr="00A067A2" w:rsidRDefault="0003174F" w:rsidP="004E5971">
            <w:pPr>
              <w:numPr>
                <w:ilvl w:val="0"/>
                <w:numId w:val="4"/>
              </w:numPr>
              <w:jc w:val="both"/>
              <w:rPr>
                <w:bCs/>
                <w:lang w:bidi="en-US"/>
              </w:rPr>
            </w:pPr>
            <w:r w:rsidRPr="00A067A2">
              <w:rPr>
                <w:bCs/>
                <w:lang w:bidi="en-US"/>
              </w:rPr>
              <w:t>Αρθρίτιδα**</w:t>
            </w:r>
          </w:p>
          <w:p w:rsidR="0003174F" w:rsidRPr="00A067A2" w:rsidRDefault="0003174F" w:rsidP="004E5971">
            <w:pPr>
              <w:numPr>
                <w:ilvl w:val="0"/>
                <w:numId w:val="4"/>
              </w:numPr>
              <w:jc w:val="both"/>
              <w:rPr>
                <w:bCs/>
                <w:lang w:bidi="en-US"/>
              </w:rPr>
            </w:pPr>
            <w:r w:rsidRPr="00A067A2">
              <w:rPr>
                <w:bCs/>
                <w:lang w:bidi="en-US"/>
              </w:rPr>
              <w:t>Φευγαλέο ερυθηματώδες εξάνθημα</w:t>
            </w:r>
          </w:p>
          <w:p w:rsidR="0003174F" w:rsidRPr="00A067A2" w:rsidRDefault="0003174F" w:rsidP="004E5971">
            <w:pPr>
              <w:numPr>
                <w:ilvl w:val="0"/>
                <w:numId w:val="4"/>
              </w:numPr>
              <w:jc w:val="both"/>
              <w:rPr>
                <w:bCs/>
                <w:lang w:bidi="en-US"/>
              </w:rPr>
            </w:pPr>
            <w:r w:rsidRPr="00A067A2">
              <w:rPr>
                <w:bCs/>
                <w:lang w:bidi="en-US"/>
              </w:rPr>
              <w:t>Λεμφαδενοπάθεια</w:t>
            </w:r>
          </w:p>
          <w:p w:rsidR="0003174F" w:rsidRPr="00A067A2" w:rsidRDefault="0003174F" w:rsidP="004E5971">
            <w:pPr>
              <w:numPr>
                <w:ilvl w:val="0"/>
                <w:numId w:val="4"/>
              </w:numPr>
              <w:jc w:val="both"/>
              <w:rPr>
                <w:bCs/>
                <w:lang w:bidi="en-US"/>
              </w:rPr>
            </w:pPr>
            <w:r w:rsidRPr="00A067A2">
              <w:rPr>
                <w:bCs/>
                <w:lang w:bidi="en-US"/>
              </w:rPr>
              <w:t>Διόγκωση ήπατος ή /και σπλήνα</w:t>
            </w:r>
          </w:p>
          <w:p w:rsidR="0003174F" w:rsidRPr="00A067A2" w:rsidRDefault="0003174F" w:rsidP="004E5971">
            <w:pPr>
              <w:numPr>
                <w:ilvl w:val="0"/>
                <w:numId w:val="4"/>
              </w:numPr>
              <w:jc w:val="both"/>
              <w:rPr>
                <w:bCs/>
                <w:lang w:bidi="en-US"/>
              </w:rPr>
            </w:pPr>
            <w:r w:rsidRPr="00A067A2">
              <w:rPr>
                <w:bCs/>
                <w:lang w:bidi="en-US"/>
              </w:rPr>
              <w:t>Ορογονίτιδα</w:t>
            </w:r>
          </w:p>
          <w:p w:rsidR="0003174F" w:rsidRDefault="0003174F" w:rsidP="004E5971">
            <w:pPr>
              <w:jc w:val="both"/>
              <w:rPr>
                <w:bCs/>
                <w:lang w:bidi="en-US"/>
              </w:rPr>
            </w:pPr>
            <w:r>
              <w:rPr>
                <w:bCs/>
                <w:lang w:bidi="en-US"/>
              </w:rPr>
              <w:t>Η</w:t>
            </w:r>
            <w:r w:rsidRPr="00A067A2">
              <w:rPr>
                <w:bCs/>
                <w:lang w:bidi="en-US"/>
              </w:rPr>
              <w:t xml:space="preserve"> </w:t>
            </w:r>
            <w:r>
              <w:rPr>
                <w:bCs/>
                <w:lang w:bidi="en-US"/>
              </w:rPr>
              <w:t xml:space="preserve">συστηματική </w:t>
            </w:r>
            <w:r w:rsidRPr="00A067A2">
              <w:rPr>
                <w:bCs/>
                <w:lang w:bidi="en-US"/>
              </w:rPr>
              <w:t>NIA μπορεί να επιπλακεί στην έναρξη ή στην πορεία της με το Σύνδρομο Ενεργοποίησης Μακροφάγου (Macrophage Activation Syndrome ή MAS, βλέπε εξωαρθρικές επιπλοκές  NIA).</w:t>
            </w:r>
          </w:p>
          <w:p w:rsidR="0003174F" w:rsidRDefault="0003174F" w:rsidP="004E5971">
            <w:pPr>
              <w:jc w:val="both"/>
              <w:rPr>
                <w:bCs/>
                <w:lang w:bidi="en-US"/>
              </w:rPr>
            </w:pPr>
          </w:p>
          <w:p w:rsidR="0003174F" w:rsidRPr="00A067A2" w:rsidRDefault="0003174F" w:rsidP="004E5971">
            <w:pPr>
              <w:jc w:val="both"/>
              <w:rPr>
                <w:bCs/>
                <w:lang w:bidi="en-US"/>
              </w:rPr>
            </w:pPr>
            <w:r w:rsidRPr="00A067A2">
              <w:rPr>
                <w:bCs/>
                <w:lang w:bidi="en-US"/>
              </w:rPr>
              <w:t>* Υψηλός πυρετός (≥38</w:t>
            </w:r>
            <w:r w:rsidRPr="00A067A2">
              <w:rPr>
                <w:bCs/>
                <w:vertAlign w:val="superscript"/>
                <w:lang w:bidi="en-US"/>
              </w:rPr>
              <w:t>0</w:t>
            </w:r>
            <w:r w:rsidRPr="00A067A2">
              <w:rPr>
                <w:bCs/>
                <w:lang w:bidi="en-US"/>
              </w:rPr>
              <w:t>C), διαλλείπων (1-2 κύματα ημερησίως), επί  3 διαδοχικές ημέρες και συνολικής διάρκειας τουλάχιστον 2 εβδομάδων. Στα μεσοδιαστήματα απυρεξίας, χαρακτηριστικά, η γενική κατάσταση του παιδιού είναι εξαιρετική.</w:t>
            </w:r>
          </w:p>
          <w:p w:rsidR="0003174F" w:rsidRPr="00A067A2" w:rsidRDefault="0003174F" w:rsidP="004E5971">
            <w:pPr>
              <w:jc w:val="both"/>
              <w:rPr>
                <w:bCs/>
                <w:lang w:bidi="en-US"/>
              </w:rPr>
            </w:pPr>
            <w:r w:rsidRPr="00A067A2">
              <w:rPr>
                <w:bCs/>
                <w:lang w:bidi="en-US"/>
              </w:rPr>
              <w:t>** Η αρθρίτιδα μπορεί να μην είναι  έκδηλη στην έναρξη  ή/και στην πρώιμη πορεία της νόσου (&lt;6 μήνες)</w:t>
            </w:r>
          </w:p>
          <w:p w:rsidR="0003174F" w:rsidRPr="00A067A2" w:rsidRDefault="0003174F" w:rsidP="004E5971">
            <w:pPr>
              <w:jc w:val="both"/>
              <w:rPr>
                <w:bCs/>
                <w:lang w:bidi="en-US"/>
              </w:rPr>
            </w:pPr>
          </w:p>
        </w:tc>
      </w:tr>
      <w:tr w:rsidR="0003174F" w:rsidRPr="00D974AB" w:rsidTr="004E5971">
        <w:tc>
          <w:tcPr>
            <w:tcW w:w="3510" w:type="dxa"/>
          </w:tcPr>
          <w:p w:rsidR="0003174F" w:rsidRPr="00A067A2" w:rsidRDefault="0003174F" w:rsidP="004E5971">
            <w:pPr>
              <w:jc w:val="both"/>
              <w:rPr>
                <w:bCs/>
                <w:lang w:bidi="en-US"/>
              </w:rPr>
            </w:pPr>
            <w:r w:rsidRPr="00A067A2">
              <w:rPr>
                <w:bCs/>
                <w:lang w:bidi="en-US"/>
              </w:rPr>
              <w:t>5. Ψωριασική αρθρίτιδα</w:t>
            </w:r>
          </w:p>
        </w:tc>
        <w:tc>
          <w:tcPr>
            <w:tcW w:w="5245" w:type="dxa"/>
          </w:tcPr>
          <w:p w:rsidR="0003174F" w:rsidRPr="00A067A2" w:rsidRDefault="0003174F" w:rsidP="004E5971">
            <w:pPr>
              <w:jc w:val="both"/>
              <w:rPr>
                <w:bCs/>
                <w:lang w:bidi="en-US"/>
              </w:rPr>
            </w:pPr>
            <w:r w:rsidRPr="00A067A2">
              <w:rPr>
                <w:bCs/>
                <w:lang w:bidi="en-US"/>
              </w:rPr>
              <w:t>Αρθρίτιδα και ψωρίαση ή αρθρίτιδα και τουλάχιστον 2</w:t>
            </w:r>
            <w:r>
              <w:rPr>
                <w:bCs/>
                <w:lang w:bidi="en-US"/>
              </w:rPr>
              <w:t xml:space="preserve"> </w:t>
            </w:r>
            <w:r w:rsidRPr="00A067A2">
              <w:rPr>
                <w:bCs/>
                <w:lang w:bidi="en-US"/>
              </w:rPr>
              <w:t>από τα παρακάτω:</w:t>
            </w:r>
          </w:p>
          <w:p w:rsidR="0003174F" w:rsidRPr="00A067A2" w:rsidRDefault="0003174F" w:rsidP="004E5971">
            <w:pPr>
              <w:numPr>
                <w:ilvl w:val="0"/>
                <w:numId w:val="5"/>
              </w:numPr>
              <w:jc w:val="both"/>
              <w:rPr>
                <w:bCs/>
                <w:lang w:bidi="en-US"/>
              </w:rPr>
            </w:pPr>
            <w:r w:rsidRPr="00A067A2">
              <w:rPr>
                <w:bCs/>
                <w:lang w:bidi="en-US"/>
              </w:rPr>
              <w:t>Δακτυλίτιδα</w:t>
            </w:r>
          </w:p>
          <w:p w:rsidR="0003174F" w:rsidRPr="00A067A2" w:rsidRDefault="0003174F" w:rsidP="004E5971">
            <w:pPr>
              <w:numPr>
                <w:ilvl w:val="0"/>
                <w:numId w:val="5"/>
              </w:numPr>
              <w:jc w:val="both"/>
              <w:rPr>
                <w:bCs/>
                <w:lang w:bidi="en-US"/>
              </w:rPr>
            </w:pPr>
            <w:r w:rsidRPr="00A067A2">
              <w:rPr>
                <w:bCs/>
                <w:lang w:bidi="en-US"/>
              </w:rPr>
              <w:t>Εντυπώματα ονύχων ή ονυχόλυση</w:t>
            </w:r>
          </w:p>
          <w:p w:rsidR="0003174F" w:rsidRPr="00A067A2" w:rsidRDefault="0003174F" w:rsidP="004E5971">
            <w:pPr>
              <w:numPr>
                <w:ilvl w:val="0"/>
                <w:numId w:val="5"/>
              </w:numPr>
              <w:jc w:val="both"/>
              <w:rPr>
                <w:bCs/>
                <w:lang w:bidi="en-US"/>
              </w:rPr>
            </w:pPr>
            <w:r w:rsidRPr="00A067A2">
              <w:rPr>
                <w:bCs/>
                <w:lang w:bidi="en-US"/>
              </w:rPr>
              <w:t>Ψωρίαση σε συγγενή πρώτου βαθμού</w:t>
            </w:r>
          </w:p>
          <w:p w:rsidR="0003174F" w:rsidRPr="00A067A2" w:rsidRDefault="0003174F" w:rsidP="004E5971">
            <w:pPr>
              <w:jc w:val="both"/>
              <w:rPr>
                <w:bCs/>
                <w:lang w:bidi="en-US"/>
              </w:rPr>
            </w:pPr>
          </w:p>
        </w:tc>
      </w:tr>
      <w:tr w:rsidR="0003174F" w:rsidRPr="00D974AB" w:rsidTr="00430295">
        <w:tc>
          <w:tcPr>
            <w:tcW w:w="3510" w:type="dxa"/>
          </w:tcPr>
          <w:p w:rsidR="0003174F" w:rsidRPr="00A067A2" w:rsidRDefault="0003174F" w:rsidP="004E5971">
            <w:pPr>
              <w:numPr>
                <w:ilvl w:val="0"/>
                <w:numId w:val="4"/>
              </w:numPr>
              <w:jc w:val="both"/>
              <w:rPr>
                <w:bCs/>
                <w:lang w:bidi="en-US"/>
              </w:rPr>
            </w:pPr>
            <w:r w:rsidRPr="00A067A2">
              <w:rPr>
                <w:bCs/>
                <w:lang w:bidi="en-US"/>
              </w:rPr>
              <w:t>Αρθρίτιδα που σχετίζεται με ενθεσίτιδα</w:t>
            </w:r>
          </w:p>
        </w:tc>
        <w:tc>
          <w:tcPr>
            <w:tcW w:w="5245" w:type="dxa"/>
          </w:tcPr>
          <w:p w:rsidR="0003174F" w:rsidRPr="00A067A2" w:rsidRDefault="0003174F" w:rsidP="004E5971">
            <w:pPr>
              <w:jc w:val="both"/>
              <w:rPr>
                <w:bCs/>
                <w:lang w:bidi="en-US"/>
              </w:rPr>
            </w:pPr>
            <w:r w:rsidRPr="00A067A2">
              <w:rPr>
                <w:bCs/>
                <w:lang w:bidi="en-US"/>
              </w:rPr>
              <w:t>Αρθρίτιδα και ενθεσίτιδα ή αρθρίτιδα ή ενθεσίτιδα και τουλάχιστον 2 από τα παρακάτω:</w:t>
            </w:r>
          </w:p>
          <w:p w:rsidR="0003174F" w:rsidRPr="00A067A2" w:rsidRDefault="0003174F" w:rsidP="004E5971">
            <w:pPr>
              <w:numPr>
                <w:ilvl w:val="0"/>
                <w:numId w:val="6"/>
              </w:numPr>
              <w:jc w:val="both"/>
              <w:rPr>
                <w:bCs/>
                <w:lang w:bidi="en-US"/>
              </w:rPr>
            </w:pPr>
            <w:r w:rsidRPr="00A067A2">
              <w:rPr>
                <w:bCs/>
                <w:lang w:bidi="en-US"/>
              </w:rPr>
              <w:t>Ευαισθησία στην ιερολαγόνια άρθρωση                ή πόνος στην οσφυοϊερή περιοχή</w:t>
            </w:r>
          </w:p>
          <w:p w:rsidR="0003174F" w:rsidRPr="00A067A2" w:rsidRDefault="0003174F" w:rsidP="004E5971">
            <w:pPr>
              <w:numPr>
                <w:ilvl w:val="0"/>
                <w:numId w:val="6"/>
              </w:numPr>
              <w:jc w:val="both"/>
              <w:rPr>
                <w:bCs/>
                <w:lang w:bidi="en-US"/>
              </w:rPr>
            </w:pPr>
            <w:r w:rsidRPr="00A067A2">
              <w:rPr>
                <w:bCs/>
                <w:lang w:bidi="en-US"/>
              </w:rPr>
              <w:t>Παρουσία του HLAB27 αντιγόνου</w:t>
            </w:r>
          </w:p>
          <w:p w:rsidR="0003174F" w:rsidRPr="00A067A2" w:rsidRDefault="0003174F" w:rsidP="004E5971">
            <w:pPr>
              <w:numPr>
                <w:ilvl w:val="0"/>
                <w:numId w:val="6"/>
              </w:numPr>
              <w:jc w:val="both"/>
              <w:rPr>
                <w:bCs/>
                <w:lang w:bidi="en-US"/>
              </w:rPr>
            </w:pPr>
            <w:r w:rsidRPr="00A067A2">
              <w:rPr>
                <w:bCs/>
                <w:lang w:bidi="en-US"/>
              </w:rPr>
              <w:t xml:space="preserve">Έναρξη αρθρίτιδας σε αγόρια ηλικίας                     &gt;6 ετών. </w:t>
            </w:r>
          </w:p>
          <w:p w:rsidR="0003174F" w:rsidRPr="00A067A2" w:rsidRDefault="0003174F" w:rsidP="004E5971">
            <w:pPr>
              <w:numPr>
                <w:ilvl w:val="0"/>
                <w:numId w:val="6"/>
              </w:numPr>
              <w:jc w:val="both"/>
              <w:rPr>
                <w:bCs/>
                <w:lang w:bidi="en-US"/>
              </w:rPr>
            </w:pPr>
            <w:r w:rsidRPr="00A067A2">
              <w:rPr>
                <w:bCs/>
                <w:lang w:bidi="en-US"/>
              </w:rPr>
              <w:t>Οξεία (συμπτωματική) πρόσθια ραγοειδίτιδα (ιριδοκυκλίτιδα)</w:t>
            </w:r>
          </w:p>
          <w:p w:rsidR="0003174F" w:rsidRPr="00A067A2" w:rsidRDefault="0003174F" w:rsidP="004E5971">
            <w:pPr>
              <w:numPr>
                <w:ilvl w:val="0"/>
                <w:numId w:val="6"/>
              </w:numPr>
              <w:jc w:val="both"/>
              <w:rPr>
                <w:bCs/>
                <w:lang w:bidi="en-US"/>
              </w:rPr>
            </w:pPr>
            <w:r w:rsidRPr="00A067A2">
              <w:rPr>
                <w:bCs/>
                <w:lang w:bidi="en-US"/>
              </w:rPr>
              <w:t>Ιστορικό νοσήματος που συσχετίζεται με  το αντιγόνο HLAB27 σε συγγενή πρώτου βαθμού*</w:t>
            </w:r>
          </w:p>
          <w:p w:rsidR="0003174F" w:rsidRPr="00A067A2" w:rsidRDefault="0003174F" w:rsidP="004E5971">
            <w:pPr>
              <w:jc w:val="both"/>
              <w:rPr>
                <w:bCs/>
                <w:lang w:bidi="en-US"/>
              </w:rPr>
            </w:pPr>
          </w:p>
          <w:p w:rsidR="0003174F" w:rsidRPr="00A067A2" w:rsidRDefault="0003174F" w:rsidP="004E5971">
            <w:pPr>
              <w:jc w:val="both"/>
              <w:rPr>
                <w:bCs/>
                <w:lang w:bidi="en-US"/>
              </w:rPr>
            </w:pPr>
            <w:r w:rsidRPr="00A067A2">
              <w:rPr>
                <w:bCs/>
                <w:lang w:bidi="en-US"/>
              </w:rPr>
              <w:t xml:space="preserve"> *  Αγκυλοποιητική σπονδυλοαρθρίτιδα,</w:t>
            </w:r>
          </w:p>
          <w:p w:rsidR="0003174F" w:rsidRPr="00A067A2" w:rsidRDefault="0003174F" w:rsidP="004E5971">
            <w:pPr>
              <w:jc w:val="both"/>
              <w:rPr>
                <w:bCs/>
                <w:lang w:bidi="en-US"/>
              </w:rPr>
            </w:pPr>
            <w:r w:rsidRPr="00A067A2">
              <w:rPr>
                <w:bCs/>
                <w:lang w:bidi="en-US"/>
              </w:rPr>
              <w:t xml:space="preserve"> αρθρίτιδα που σχετίζεται με ενθεσίτιδα, ιερολαγονίτιδα με φλεγμονώδη νόσο του εντέρου, σύνδρομο Reiter</w:t>
            </w:r>
          </w:p>
          <w:p w:rsidR="0003174F" w:rsidRPr="00A067A2" w:rsidRDefault="0003174F" w:rsidP="004E5971">
            <w:pPr>
              <w:jc w:val="both"/>
              <w:rPr>
                <w:bCs/>
                <w:lang w:bidi="en-US"/>
              </w:rPr>
            </w:pPr>
          </w:p>
        </w:tc>
      </w:tr>
      <w:tr w:rsidR="0003174F" w:rsidRPr="00D974AB" w:rsidTr="00430295">
        <w:tc>
          <w:tcPr>
            <w:tcW w:w="3510" w:type="dxa"/>
            <w:tcBorders>
              <w:bottom w:val="single" w:sz="4" w:space="0" w:color="auto"/>
            </w:tcBorders>
          </w:tcPr>
          <w:p w:rsidR="0003174F" w:rsidRPr="00A067A2" w:rsidRDefault="0003174F" w:rsidP="004E5971">
            <w:pPr>
              <w:numPr>
                <w:ilvl w:val="0"/>
                <w:numId w:val="7"/>
              </w:numPr>
              <w:jc w:val="both"/>
              <w:rPr>
                <w:bCs/>
                <w:lang w:bidi="en-US"/>
              </w:rPr>
            </w:pPr>
            <w:r>
              <w:rPr>
                <w:bCs/>
                <w:lang w:bidi="en-US"/>
              </w:rPr>
              <w:t xml:space="preserve">Αδιαφοροποίητη </w:t>
            </w:r>
            <w:r w:rsidRPr="00A067A2">
              <w:rPr>
                <w:bCs/>
                <w:lang w:bidi="en-US"/>
              </w:rPr>
              <w:t>ή αταξινόμητη αρθρίτιδα</w:t>
            </w:r>
          </w:p>
        </w:tc>
        <w:tc>
          <w:tcPr>
            <w:tcW w:w="5245" w:type="dxa"/>
            <w:tcBorders>
              <w:bottom w:val="single" w:sz="4" w:space="0" w:color="auto"/>
            </w:tcBorders>
          </w:tcPr>
          <w:p w:rsidR="0003174F" w:rsidRPr="00A067A2" w:rsidRDefault="0003174F" w:rsidP="004E5971">
            <w:pPr>
              <w:jc w:val="both"/>
              <w:rPr>
                <w:bCs/>
                <w:lang w:bidi="en-US"/>
              </w:rPr>
            </w:pPr>
            <w:r w:rsidRPr="00A067A2">
              <w:rPr>
                <w:bCs/>
                <w:lang w:bidi="en-US"/>
              </w:rPr>
              <w:t>Αρθρίτιδα που δεν  εκπληρώνει όλα τα  κριτήρια κάποιας από τις προηγούμενες 6 κατηγορίες  ή εκπληρώνει τα κριτήρια από  2  ή περισσότερες  κατηγορίες</w:t>
            </w:r>
          </w:p>
        </w:tc>
      </w:tr>
    </w:tbl>
    <w:p w:rsidR="0003174F" w:rsidRPr="00D974AB" w:rsidRDefault="0003174F" w:rsidP="0003174F">
      <w:pPr>
        <w:jc w:val="both"/>
        <w:rPr>
          <w:b/>
        </w:rPr>
      </w:pPr>
    </w:p>
    <w:p w:rsidR="0003174F" w:rsidRPr="00D974AB" w:rsidRDefault="0003174F" w:rsidP="0003174F">
      <w:pPr>
        <w:jc w:val="both"/>
        <w:rPr>
          <w:b/>
        </w:rPr>
      </w:pPr>
      <w:r w:rsidRPr="00D974AB">
        <w:rPr>
          <w:b/>
        </w:rPr>
        <w:br w:type="page"/>
      </w:r>
    </w:p>
    <w:p w:rsidR="00670E71" w:rsidRPr="0003174F" w:rsidRDefault="00670E71" w:rsidP="00A067A2">
      <w:pPr>
        <w:jc w:val="both"/>
        <w:rPr>
          <w:b/>
        </w:rPr>
      </w:pPr>
    </w:p>
    <w:p w:rsidR="00DA4F6E" w:rsidRPr="00D974AB" w:rsidRDefault="00DA4F6E" w:rsidP="00DA4F6E">
      <w:pPr>
        <w:jc w:val="both"/>
        <w:rPr>
          <w:b/>
        </w:rPr>
      </w:pPr>
      <w:r w:rsidRPr="00D974AB">
        <w:rPr>
          <w:b/>
        </w:rPr>
        <w:t>Πίνακας 2. Δυσμενείς προγνωστικοί παράγοντες και επίπεδα δραστηριότητας σε ασθενείς με ολιγοαρθρίτιδα</w:t>
      </w:r>
    </w:p>
    <w:p w:rsidR="00DA4F6E" w:rsidRPr="00D974AB" w:rsidRDefault="00DA4F6E" w:rsidP="00DA4F6E">
      <w:pPr>
        <w:jc w:val="both"/>
      </w:pPr>
    </w:p>
    <w:tbl>
      <w:tblPr>
        <w:tblW w:w="0" w:type="auto"/>
        <w:tblLook w:val="04A0" w:firstRow="1" w:lastRow="0" w:firstColumn="1" w:lastColumn="0" w:noHBand="0" w:noVBand="1"/>
      </w:tblPr>
      <w:tblGrid>
        <w:gridCol w:w="9039"/>
      </w:tblGrid>
      <w:tr w:rsidR="00DA4F6E" w:rsidRPr="00D678DE" w:rsidTr="004E5971">
        <w:trPr>
          <w:trHeight w:val="274"/>
        </w:trPr>
        <w:tc>
          <w:tcPr>
            <w:tcW w:w="9039" w:type="dxa"/>
            <w:tcBorders>
              <w:top w:val="single" w:sz="4" w:space="0" w:color="auto"/>
            </w:tcBorders>
          </w:tcPr>
          <w:p w:rsidR="00DA4F6E" w:rsidRPr="00D678DE" w:rsidRDefault="00DA4F6E" w:rsidP="004E5971">
            <w:pPr>
              <w:jc w:val="both"/>
              <w:rPr>
                <w:b/>
                <w:bCs/>
                <w:lang w:bidi="en-US"/>
              </w:rPr>
            </w:pPr>
            <w:r w:rsidRPr="00D678DE">
              <w:rPr>
                <w:b/>
                <w:bCs/>
                <w:i/>
                <w:lang w:bidi="en-US"/>
              </w:rPr>
              <w:t xml:space="preserve">Δυσμενείς προγνωστικοί παράγοντες </w:t>
            </w:r>
            <w:r w:rsidRPr="00D678DE">
              <w:rPr>
                <w:b/>
                <w:bCs/>
                <w:lang w:bidi="en-US"/>
              </w:rPr>
              <w:t>(εκπλήρωση τουλάχιστον 1 από τα παρακάτω)</w:t>
            </w:r>
          </w:p>
          <w:p w:rsidR="00DA4F6E" w:rsidRPr="00D678DE" w:rsidRDefault="00DA4F6E" w:rsidP="004E5971">
            <w:pPr>
              <w:numPr>
                <w:ilvl w:val="0"/>
                <w:numId w:val="1"/>
              </w:numPr>
              <w:jc w:val="both"/>
              <w:rPr>
                <w:bCs/>
                <w:lang w:bidi="en-US"/>
              </w:rPr>
            </w:pPr>
            <w:r w:rsidRPr="00D678DE">
              <w:rPr>
                <w:bCs/>
                <w:lang w:bidi="en-US"/>
              </w:rPr>
              <w:t>Αρθρίτιδα ισχίου ή αυχενικής μοίρας σπονδυλικής στήλης</w:t>
            </w:r>
          </w:p>
          <w:p w:rsidR="00DA4F6E" w:rsidRPr="00D678DE" w:rsidRDefault="00DA4F6E" w:rsidP="004E5971">
            <w:pPr>
              <w:numPr>
                <w:ilvl w:val="0"/>
                <w:numId w:val="1"/>
              </w:numPr>
              <w:jc w:val="both"/>
              <w:rPr>
                <w:bCs/>
                <w:lang w:bidi="en-US"/>
              </w:rPr>
            </w:pPr>
            <w:r w:rsidRPr="00D678DE">
              <w:rPr>
                <w:bCs/>
                <w:lang w:bidi="en-US"/>
              </w:rPr>
              <w:t>Αρθρίτιδα ποδοκνημικής ή πηχεοκαρπικής και υψηλοί δείκτες  φλεγμονής (πχ ΤΚΕ, CRP) ή παρατεταμένη αύξηση αυτών.</w:t>
            </w:r>
          </w:p>
          <w:p w:rsidR="00DA4F6E" w:rsidRPr="00D678DE" w:rsidRDefault="00DA4F6E" w:rsidP="004E5971">
            <w:pPr>
              <w:numPr>
                <w:ilvl w:val="0"/>
                <w:numId w:val="1"/>
              </w:numPr>
              <w:jc w:val="both"/>
              <w:rPr>
                <w:bCs/>
                <w:lang w:bidi="en-US"/>
              </w:rPr>
            </w:pPr>
            <w:r w:rsidRPr="00D678DE">
              <w:rPr>
                <w:bCs/>
                <w:lang w:bidi="en-US"/>
              </w:rPr>
              <w:t>Ακτινολογικά ευρήματα αρθρικής βλάβης (διαβρώσεις ή στένωση μεσαρθρίου διαστήματος)</w:t>
            </w:r>
          </w:p>
          <w:p w:rsidR="00DA4F6E" w:rsidRPr="00D678DE" w:rsidRDefault="00DA4F6E" w:rsidP="00430295">
            <w:pPr>
              <w:spacing w:line="240" w:lineRule="auto"/>
              <w:jc w:val="both"/>
              <w:rPr>
                <w:bCs/>
                <w:lang w:bidi="en-US"/>
              </w:rPr>
            </w:pPr>
          </w:p>
        </w:tc>
      </w:tr>
      <w:tr w:rsidR="00DA4F6E" w:rsidRPr="00D678DE" w:rsidTr="004E5971">
        <w:tc>
          <w:tcPr>
            <w:tcW w:w="9039" w:type="dxa"/>
            <w:tcBorders>
              <w:bottom w:val="single" w:sz="4" w:space="0" w:color="auto"/>
            </w:tcBorders>
          </w:tcPr>
          <w:p w:rsidR="00DA4F6E" w:rsidRPr="00D678DE" w:rsidRDefault="00DA4F6E" w:rsidP="004E5971">
            <w:pPr>
              <w:jc w:val="both"/>
              <w:rPr>
                <w:b/>
                <w:bCs/>
                <w:i/>
                <w:lang w:bidi="en-US"/>
              </w:rPr>
            </w:pPr>
            <w:r w:rsidRPr="00D678DE">
              <w:rPr>
                <w:b/>
                <w:bCs/>
                <w:i/>
                <w:lang w:bidi="en-US"/>
              </w:rPr>
              <w:t>Επίπεδα δραστηριότητας της νόσου</w:t>
            </w:r>
          </w:p>
          <w:p w:rsidR="00DA4F6E" w:rsidRPr="00D678DE" w:rsidRDefault="00DA4F6E" w:rsidP="004E5971">
            <w:pPr>
              <w:jc w:val="both"/>
              <w:rPr>
                <w:bCs/>
                <w:lang w:bidi="en-US"/>
              </w:rPr>
            </w:pPr>
            <w:r w:rsidRPr="00D678DE">
              <w:rPr>
                <w:bCs/>
                <w:i/>
                <w:u w:val="single"/>
                <w:lang w:bidi="en-US"/>
              </w:rPr>
              <w:t xml:space="preserve">Χαμηλή δραστηριότητα </w:t>
            </w:r>
            <w:r w:rsidRPr="00D678DE">
              <w:rPr>
                <w:bCs/>
                <w:lang w:bidi="en-US"/>
              </w:rPr>
              <w:t>(εκπλήρωση όλων)</w:t>
            </w:r>
          </w:p>
          <w:p w:rsidR="00DA4F6E" w:rsidRPr="00D678DE" w:rsidRDefault="00DA4F6E" w:rsidP="004E5971">
            <w:pPr>
              <w:jc w:val="both"/>
              <w:rPr>
                <w:bCs/>
                <w:lang w:bidi="en-US"/>
              </w:rPr>
            </w:pPr>
            <w:r w:rsidRPr="00D678DE">
              <w:rPr>
                <w:bCs/>
                <w:lang w:bidi="en-US"/>
              </w:rPr>
              <w:t>≤ 1 αρθρώσεις με ενεργό αρθρίτιδα</w:t>
            </w:r>
          </w:p>
          <w:p w:rsidR="00DA4F6E" w:rsidRPr="00D678DE" w:rsidRDefault="00DA4F6E" w:rsidP="004E5971">
            <w:pPr>
              <w:jc w:val="both"/>
              <w:rPr>
                <w:bCs/>
                <w:lang w:bidi="en-US"/>
              </w:rPr>
            </w:pPr>
            <w:r w:rsidRPr="00D678DE">
              <w:rPr>
                <w:bCs/>
                <w:lang w:bidi="en-US"/>
              </w:rPr>
              <w:t>ΤΚΕ (≤ 20mm) ή CRP φυσιολογική</w:t>
            </w:r>
          </w:p>
          <w:p w:rsidR="00DA4F6E" w:rsidRPr="00D678DE" w:rsidRDefault="00DA4F6E" w:rsidP="004E5971">
            <w:pPr>
              <w:jc w:val="both"/>
              <w:rPr>
                <w:bCs/>
                <w:lang w:bidi="en-US"/>
              </w:rPr>
            </w:pPr>
            <w:r w:rsidRPr="00D678DE">
              <w:rPr>
                <w:bCs/>
                <w:lang w:bidi="en-US"/>
              </w:rPr>
              <w:t>Σφαιρική εκτίμηση του ιατρού για τη συνολική δραστηριότητα της νόσου: MDVAS global&lt;3</w:t>
            </w:r>
          </w:p>
          <w:p w:rsidR="00DA4F6E" w:rsidRPr="00D678DE" w:rsidRDefault="00DA4F6E" w:rsidP="004E5971">
            <w:pPr>
              <w:jc w:val="both"/>
              <w:rPr>
                <w:bCs/>
                <w:vertAlign w:val="superscript"/>
                <w:lang w:bidi="en-US"/>
              </w:rPr>
            </w:pPr>
            <w:r w:rsidRPr="00D678DE">
              <w:rPr>
                <w:bCs/>
                <w:lang w:bidi="en-US"/>
              </w:rPr>
              <w:t>Σφαιρική εκτίμηση του  γονέα/ασθενή για τη συνολική ευεξία: VAS&lt;2</w:t>
            </w:r>
          </w:p>
          <w:p w:rsidR="00DA4F6E" w:rsidRPr="00D678DE" w:rsidRDefault="00DA4F6E" w:rsidP="00430295">
            <w:pPr>
              <w:spacing w:line="240" w:lineRule="auto"/>
              <w:jc w:val="both"/>
              <w:rPr>
                <w:bCs/>
                <w:lang w:bidi="en-US"/>
              </w:rPr>
            </w:pPr>
          </w:p>
          <w:p w:rsidR="00DA4F6E" w:rsidRPr="00D678DE" w:rsidRDefault="00DA4F6E" w:rsidP="004E5971">
            <w:pPr>
              <w:jc w:val="both"/>
              <w:rPr>
                <w:bCs/>
                <w:lang w:bidi="en-US"/>
              </w:rPr>
            </w:pPr>
            <w:r w:rsidRPr="00D678DE">
              <w:rPr>
                <w:bCs/>
                <w:i/>
                <w:u w:val="single"/>
                <w:lang w:bidi="en-US"/>
              </w:rPr>
              <w:t>Μέτρια δρaστηριότητα</w:t>
            </w:r>
            <w:r w:rsidRPr="00D678DE">
              <w:rPr>
                <w:bCs/>
                <w:lang w:bidi="en-US"/>
              </w:rPr>
              <w:t xml:space="preserve"> (δεν εκπληρώνονται τα κριτήρια ούτε χαμηλής ούτε υψηλής δραστηριότητας της νόσου)</w:t>
            </w:r>
          </w:p>
          <w:p w:rsidR="00DA4F6E" w:rsidRPr="00D678DE" w:rsidRDefault="00DA4F6E" w:rsidP="004E5971">
            <w:pPr>
              <w:jc w:val="both"/>
              <w:rPr>
                <w:bCs/>
                <w:lang w:bidi="en-US"/>
              </w:rPr>
            </w:pPr>
            <w:r w:rsidRPr="00D678DE">
              <w:rPr>
                <w:bCs/>
                <w:lang w:bidi="en-US"/>
              </w:rPr>
              <w:t>1 ή περισσότερα κριτήρια με &gt;score/τιμές από αυτές της χαμηλής, και  &lt; 3 κριτήρια με &lt;  σκορ/τιμές από αυτές της υψηλής δραστηριότητας της νόσου</w:t>
            </w:r>
          </w:p>
          <w:p w:rsidR="00DA4F6E" w:rsidRPr="00D678DE" w:rsidRDefault="00DA4F6E" w:rsidP="00430295">
            <w:pPr>
              <w:spacing w:line="240" w:lineRule="auto"/>
              <w:jc w:val="both"/>
              <w:rPr>
                <w:bCs/>
                <w:lang w:bidi="en-US"/>
              </w:rPr>
            </w:pPr>
          </w:p>
          <w:p w:rsidR="00DA4F6E" w:rsidRPr="00D678DE" w:rsidRDefault="00DA4F6E" w:rsidP="004E5971">
            <w:pPr>
              <w:jc w:val="both"/>
              <w:rPr>
                <w:bCs/>
                <w:lang w:bidi="en-US"/>
              </w:rPr>
            </w:pPr>
            <w:r w:rsidRPr="00D678DE">
              <w:rPr>
                <w:bCs/>
                <w:i/>
                <w:u w:val="single"/>
                <w:lang w:bidi="en-US"/>
              </w:rPr>
              <w:t xml:space="preserve">Υψηλή δρaστηριότητα </w:t>
            </w:r>
            <w:r w:rsidRPr="00D678DE">
              <w:rPr>
                <w:bCs/>
                <w:lang w:bidi="en-US"/>
              </w:rPr>
              <w:t>(εκπλήρωση τουλάχιστον 3 κριτηρίων)</w:t>
            </w:r>
          </w:p>
          <w:p w:rsidR="00DA4F6E" w:rsidRPr="00D678DE" w:rsidRDefault="00DA4F6E" w:rsidP="004E5971">
            <w:pPr>
              <w:jc w:val="both"/>
              <w:rPr>
                <w:bCs/>
                <w:lang w:bidi="en-US"/>
              </w:rPr>
            </w:pPr>
            <w:r w:rsidRPr="00D678DE">
              <w:rPr>
                <w:bCs/>
                <w:lang w:bidi="en-US"/>
              </w:rPr>
              <w:t>Τουλάχιστον 2 αρθρώσεις με ενεργό αρθρίτιδα</w:t>
            </w:r>
          </w:p>
          <w:p w:rsidR="00DA4F6E" w:rsidRPr="00D678DE" w:rsidRDefault="00DA4F6E" w:rsidP="004E5971">
            <w:pPr>
              <w:jc w:val="both"/>
              <w:rPr>
                <w:bCs/>
                <w:lang w:bidi="en-US"/>
              </w:rPr>
            </w:pPr>
            <w:r w:rsidRPr="00D678DE">
              <w:rPr>
                <w:bCs/>
                <w:lang w:bidi="en-US"/>
              </w:rPr>
              <w:t>Επίπεδα ΤΚΕ ή CRP τουλάχιστον 2πλάσια από τα ανώτερα φυσιολογικά όρια</w:t>
            </w:r>
          </w:p>
          <w:p w:rsidR="00DA4F6E" w:rsidRPr="00D678DE" w:rsidRDefault="00DA4F6E" w:rsidP="004E5971">
            <w:pPr>
              <w:jc w:val="both"/>
              <w:rPr>
                <w:bCs/>
                <w:lang w:bidi="en-US"/>
              </w:rPr>
            </w:pPr>
            <w:r w:rsidRPr="00D678DE">
              <w:rPr>
                <w:bCs/>
                <w:lang w:bidi="en-US"/>
              </w:rPr>
              <w:t xml:space="preserve">Σφαιρική εκτίμηση του ιατρού για τη συνολική δραστηριότητα της νόσου: MDVAS </w:t>
            </w:r>
          </w:p>
          <w:p w:rsidR="00DA4F6E" w:rsidRPr="00D678DE" w:rsidRDefault="00DA4F6E" w:rsidP="004E5971">
            <w:pPr>
              <w:jc w:val="both"/>
              <w:rPr>
                <w:bCs/>
                <w:lang w:bidi="en-US"/>
              </w:rPr>
            </w:pPr>
            <w:r w:rsidRPr="00D678DE">
              <w:rPr>
                <w:bCs/>
                <w:lang w:bidi="en-US"/>
              </w:rPr>
              <w:t>global ≥7</w:t>
            </w:r>
          </w:p>
          <w:p w:rsidR="00DA4F6E" w:rsidRPr="00D678DE" w:rsidRDefault="00DA4F6E" w:rsidP="004E5971">
            <w:pPr>
              <w:jc w:val="both"/>
              <w:rPr>
                <w:bCs/>
                <w:vertAlign w:val="superscript"/>
                <w:lang w:bidi="en-US"/>
              </w:rPr>
            </w:pPr>
            <w:r w:rsidRPr="00D678DE">
              <w:rPr>
                <w:bCs/>
                <w:lang w:bidi="en-US"/>
              </w:rPr>
              <w:t>Σφαιρική εκτίμηση του  γονέα/ασθενή για τη συνολική ευεξία: VAS ≥4</w:t>
            </w:r>
          </w:p>
        </w:tc>
      </w:tr>
    </w:tbl>
    <w:p w:rsidR="00DA4F6E" w:rsidRPr="00D678DE" w:rsidRDefault="00DA4F6E" w:rsidP="00DA4F6E">
      <w:pPr>
        <w:jc w:val="both"/>
      </w:pPr>
    </w:p>
    <w:p w:rsidR="00DA4F6E" w:rsidRPr="00D678DE" w:rsidRDefault="00DA4F6E" w:rsidP="00DA4F6E">
      <w:pPr>
        <w:jc w:val="both"/>
      </w:pPr>
      <w:r w:rsidRPr="00D678DE">
        <w:br w:type="page"/>
      </w:r>
    </w:p>
    <w:p w:rsidR="00DA4F6E" w:rsidRPr="00D974AB" w:rsidRDefault="00DA4F6E" w:rsidP="00DA4F6E">
      <w:pPr>
        <w:jc w:val="both"/>
        <w:rPr>
          <w:b/>
        </w:rPr>
      </w:pPr>
      <w:r w:rsidRPr="00D974AB">
        <w:rPr>
          <w:b/>
        </w:rPr>
        <w:t>Πίνακας 3. Δυσμενείς προγνωστικοί παράγοντες και επίπεδα δραστηριότητας σε ασθενείς με πολυαρθρίτιδα</w:t>
      </w:r>
    </w:p>
    <w:p w:rsidR="00DA4F6E" w:rsidRPr="00D974AB" w:rsidRDefault="00DA4F6E" w:rsidP="00DA4F6E">
      <w:pPr>
        <w:jc w:val="both"/>
      </w:pPr>
    </w:p>
    <w:tbl>
      <w:tblPr>
        <w:tblW w:w="0" w:type="auto"/>
        <w:tblLook w:val="04A0" w:firstRow="1" w:lastRow="0" w:firstColumn="1" w:lastColumn="0" w:noHBand="0" w:noVBand="1"/>
      </w:tblPr>
      <w:tblGrid>
        <w:gridCol w:w="8522"/>
      </w:tblGrid>
      <w:tr w:rsidR="00DA4F6E" w:rsidRPr="00D974AB" w:rsidTr="004E5971">
        <w:trPr>
          <w:trHeight w:val="1373"/>
        </w:trPr>
        <w:tc>
          <w:tcPr>
            <w:tcW w:w="8522" w:type="dxa"/>
            <w:tcBorders>
              <w:top w:val="single" w:sz="4" w:space="0" w:color="auto"/>
            </w:tcBorders>
          </w:tcPr>
          <w:p w:rsidR="00DA4F6E" w:rsidRPr="00996025" w:rsidRDefault="00DA4F6E" w:rsidP="004E5971">
            <w:pPr>
              <w:jc w:val="both"/>
              <w:rPr>
                <w:b/>
                <w:bCs/>
                <w:lang w:bidi="en-US"/>
              </w:rPr>
            </w:pPr>
            <w:r w:rsidRPr="00996025">
              <w:rPr>
                <w:b/>
                <w:bCs/>
                <w:i/>
                <w:lang w:bidi="en-US"/>
              </w:rPr>
              <w:t xml:space="preserve">Δυσμενείς προγνωστικοί παράγοντες </w:t>
            </w:r>
            <w:r w:rsidRPr="00996025">
              <w:rPr>
                <w:b/>
                <w:bCs/>
                <w:lang w:bidi="en-US"/>
              </w:rPr>
              <w:t>(εκπλήρωση τουλάχιστον 1 από τα παρακάτω)</w:t>
            </w:r>
          </w:p>
          <w:p w:rsidR="00DA4F6E" w:rsidRPr="00996025" w:rsidRDefault="00DA4F6E" w:rsidP="004E5971">
            <w:pPr>
              <w:numPr>
                <w:ilvl w:val="0"/>
                <w:numId w:val="1"/>
              </w:numPr>
              <w:jc w:val="both"/>
              <w:rPr>
                <w:bCs/>
                <w:lang w:bidi="en-US"/>
              </w:rPr>
            </w:pPr>
            <w:r w:rsidRPr="00996025">
              <w:rPr>
                <w:bCs/>
                <w:lang w:bidi="en-US"/>
              </w:rPr>
              <w:t>Αρθρίτιδα ισχίου ή αυχενικής μοίρας σπονδυλικής στήλης</w:t>
            </w:r>
          </w:p>
          <w:p w:rsidR="00DA4F6E" w:rsidRPr="00996025" w:rsidRDefault="00DA4F6E" w:rsidP="004E5971">
            <w:pPr>
              <w:numPr>
                <w:ilvl w:val="0"/>
                <w:numId w:val="1"/>
              </w:numPr>
              <w:jc w:val="both"/>
              <w:rPr>
                <w:bCs/>
                <w:lang w:bidi="en-US"/>
              </w:rPr>
            </w:pPr>
            <w:r w:rsidRPr="00996025">
              <w:rPr>
                <w:bCs/>
                <w:lang w:bidi="en-US"/>
              </w:rPr>
              <w:t>Θετικός ρευματοειδής παράγοντας ή θετικά αντικιτρουλλινικά  αντισώματα (anti–CCP)</w:t>
            </w:r>
          </w:p>
          <w:p w:rsidR="00DA4F6E" w:rsidRPr="00996025" w:rsidRDefault="00DA4F6E" w:rsidP="004E5971">
            <w:pPr>
              <w:numPr>
                <w:ilvl w:val="0"/>
                <w:numId w:val="1"/>
              </w:numPr>
              <w:jc w:val="both"/>
              <w:rPr>
                <w:bCs/>
                <w:lang w:bidi="en-US"/>
              </w:rPr>
            </w:pPr>
            <w:r w:rsidRPr="00996025">
              <w:rPr>
                <w:bCs/>
                <w:lang w:bidi="en-US"/>
              </w:rPr>
              <w:t>Ακτινολογικά ευρήματα αρθρικής βλάβης (διαβρώσεις ή στένωση μεσαρθρίου διαστήματος)</w:t>
            </w:r>
          </w:p>
        </w:tc>
      </w:tr>
      <w:tr w:rsidR="00DA4F6E" w:rsidRPr="00D974AB" w:rsidTr="004E5971">
        <w:tc>
          <w:tcPr>
            <w:tcW w:w="8522" w:type="dxa"/>
          </w:tcPr>
          <w:p w:rsidR="00DA4F6E" w:rsidRPr="00D974AB" w:rsidRDefault="00DA4F6E" w:rsidP="004E5971">
            <w:pPr>
              <w:jc w:val="both"/>
              <w:rPr>
                <w:b/>
                <w:bCs/>
                <w:lang w:bidi="en-US"/>
              </w:rPr>
            </w:pPr>
          </w:p>
          <w:p w:rsidR="00DA4F6E" w:rsidRPr="00D974AB" w:rsidRDefault="00DA4F6E" w:rsidP="004E5971">
            <w:pPr>
              <w:jc w:val="both"/>
              <w:rPr>
                <w:b/>
                <w:bCs/>
                <w:i/>
                <w:lang w:bidi="en-US"/>
              </w:rPr>
            </w:pPr>
            <w:r w:rsidRPr="00D974AB">
              <w:rPr>
                <w:b/>
                <w:bCs/>
                <w:i/>
                <w:lang w:bidi="en-US"/>
              </w:rPr>
              <w:t>Επίπεδα δραστηριότητας  της νόσου</w:t>
            </w:r>
          </w:p>
        </w:tc>
      </w:tr>
      <w:tr w:rsidR="00DA4F6E" w:rsidRPr="00996025" w:rsidTr="004E5971">
        <w:tc>
          <w:tcPr>
            <w:tcW w:w="8522" w:type="dxa"/>
            <w:tcBorders>
              <w:bottom w:val="single" w:sz="4" w:space="0" w:color="auto"/>
            </w:tcBorders>
          </w:tcPr>
          <w:p w:rsidR="00DA4F6E" w:rsidRPr="00996025" w:rsidRDefault="00DA4F6E" w:rsidP="004E5971">
            <w:pPr>
              <w:jc w:val="both"/>
              <w:rPr>
                <w:bCs/>
                <w:lang w:bidi="en-US"/>
              </w:rPr>
            </w:pPr>
            <w:r w:rsidRPr="00996025">
              <w:rPr>
                <w:bCs/>
                <w:i/>
                <w:u w:val="single"/>
                <w:lang w:bidi="en-US"/>
              </w:rPr>
              <w:t>Χαμηλή δραστηριότητα</w:t>
            </w:r>
            <w:r w:rsidRPr="00996025">
              <w:rPr>
                <w:bCs/>
                <w:i/>
                <w:lang w:bidi="en-US"/>
              </w:rPr>
              <w:t xml:space="preserve"> </w:t>
            </w:r>
            <w:r w:rsidRPr="00996025">
              <w:rPr>
                <w:bCs/>
                <w:lang w:bidi="en-US"/>
              </w:rPr>
              <w:t>(εκπλήρωση όλων)</w:t>
            </w:r>
          </w:p>
          <w:p w:rsidR="00DA4F6E" w:rsidRPr="00996025" w:rsidRDefault="00DA4F6E" w:rsidP="004E5971">
            <w:pPr>
              <w:jc w:val="both"/>
              <w:rPr>
                <w:bCs/>
                <w:lang w:bidi="en-US"/>
              </w:rPr>
            </w:pPr>
            <w:r w:rsidRPr="00996025">
              <w:rPr>
                <w:bCs/>
                <w:lang w:bidi="en-US"/>
              </w:rPr>
              <w:t>≤4 αρθρώσεις με ενεργό αρθρίτιδα κατά την τρέχουσα εκτίμηση</w:t>
            </w:r>
          </w:p>
          <w:p w:rsidR="00DA4F6E" w:rsidRPr="00996025" w:rsidRDefault="00DA4F6E" w:rsidP="004E5971">
            <w:pPr>
              <w:jc w:val="both"/>
              <w:rPr>
                <w:bCs/>
                <w:lang w:bidi="en-US"/>
              </w:rPr>
            </w:pPr>
            <w:r w:rsidRPr="00996025">
              <w:rPr>
                <w:bCs/>
                <w:lang w:bidi="en-US"/>
              </w:rPr>
              <w:t>ΤΚΕ ή CRP σε φυσιολογικά επίπεδα</w:t>
            </w:r>
          </w:p>
          <w:p w:rsidR="00DA4F6E" w:rsidRPr="00996025" w:rsidRDefault="00DA4F6E" w:rsidP="004E5971">
            <w:pPr>
              <w:jc w:val="both"/>
              <w:rPr>
                <w:bCs/>
                <w:lang w:bidi="en-US"/>
              </w:rPr>
            </w:pPr>
            <w:r w:rsidRPr="00996025">
              <w:rPr>
                <w:bCs/>
                <w:lang w:bidi="en-US"/>
              </w:rPr>
              <w:t xml:space="preserve">Σφαιρική εκτίμηση του ιατρού για τη συνολική δραστηριότητα της  νόσου: </w:t>
            </w:r>
            <w:r w:rsidRPr="00996025">
              <w:rPr>
                <w:bCs/>
                <w:i/>
                <w:lang w:bidi="en-US"/>
              </w:rPr>
              <w:t>MDVAS global</w:t>
            </w:r>
            <w:r w:rsidRPr="00996025">
              <w:rPr>
                <w:bCs/>
                <w:lang w:bidi="en-US"/>
              </w:rPr>
              <w:t xml:space="preserve">  &lt;4</w:t>
            </w:r>
          </w:p>
          <w:p w:rsidR="00DA4F6E" w:rsidRPr="00996025" w:rsidRDefault="00DA4F6E" w:rsidP="004E5971">
            <w:pPr>
              <w:jc w:val="both"/>
              <w:rPr>
                <w:bCs/>
                <w:lang w:bidi="en-US"/>
              </w:rPr>
            </w:pPr>
            <w:r w:rsidRPr="00996025">
              <w:rPr>
                <w:bCs/>
                <w:lang w:bidi="en-US"/>
              </w:rPr>
              <w:t>Σφαιρική εκτίμηση του  γονέα/ασθενή για τη συνολική ευεξία:VAS&lt;2</w:t>
            </w:r>
          </w:p>
          <w:p w:rsidR="00DA4F6E" w:rsidRPr="00996025" w:rsidRDefault="00DA4F6E" w:rsidP="004E5971">
            <w:pPr>
              <w:jc w:val="both"/>
              <w:rPr>
                <w:bCs/>
                <w:lang w:bidi="en-US"/>
              </w:rPr>
            </w:pPr>
          </w:p>
          <w:p w:rsidR="00DA4F6E" w:rsidRPr="00996025" w:rsidRDefault="00DA4F6E" w:rsidP="004E5971">
            <w:pPr>
              <w:jc w:val="both"/>
              <w:rPr>
                <w:bCs/>
                <w:lang w:bidi="en-US"/>
              </w:rPr>
            </w:pPr>
            <w:r w:rsidRPr="00996025">
              <w:rPr>
                <w:bCs/>
                <w:i/>
                <w:u w:val="single"/>
                <w:lang w:bidi="en-US"/>
              </w:rPr>
              <w:t>Μέτρια δραστηριότητα</w:t>
            </w:r>
            <w:r w:rsidRPr="00996025">
              <w:rPr>
                <w:bCs/>
                <w:i/>
                <w:lang w:bidi="en-US"/>
              </w:rPr>
              <w:t xml:space="preserve"> </w:t>
            </w:r>
            <w:r w:rsidRPr="00996025">
              <w:rPr>
                <w:bCs/>
                <w:lang w:bidi="en-US"/>
              </w:rPr>
              <w:t>(δεν εκπληρώνονται τα κριτήρια ούτε χαμηλής ούτε υψηλής δραστηριότητας της νόσου)</w:t>
            </w:r>
          </w:p>
          <w:p w:rsidR="00DA4F6E" w:rsidRPr="00996025" w:rsidRDefault="00DA4F6E" w:rsidP="004E5971">
            <w:pPr>
              <w:jc w:val="both"/>
              <w:rPr>
                <w:bCs/>
                <w:lang w:bidi="en-US"/>
              </w:rPr>
            </w:pPr>
            <w:r w:rsidRPr="00996025">
              <w:rPr>
                <w:bCs/>
                <w:lang w:bidi="en-US"/>
              </w:rPr>
              <w:t>1 ή περισσότερα κριτήρια με μεγαλύτερο score/τιμές από αυτές της χαμηλής, και  &lt; 3 κριτήρια με μικρότερο  σκορ/τιμές  απ’ αυτές της υψηλής δραστηριότητας της νόσου</w:t>
            </w:r>
          </w:p>
          <w:p w:rsidR="00DA4F6E" w:rsidRPr="00996025" w:rsidRDefault="00DA4F6E" w:rsidP="004E5971">
            <w:pPr>
              <w:jc w:val="both"/>
              <w:rPr>
                <w:bCs/>
                <w:lang w:bidi="en-US"/>
              </w:rPr>
            </w:pPr>
          </w:p>
          <w:p w:rsidR="00DA4F6E" w:rsidRPr="00996025" w:rsidRDefault="00DA4F6E" w:rsidP="004E5971">
            <w:pPr>
              <w:jc w:val="both"/>
              <w:rPr>
                <w:bCs/>
                <w:lang w:bidi="en-US"/>
              </w:rPr>
            </w:pPr>
            <w:r w:rsidRPr="00996025">
              <w:rPr>
                <w:bCs/>
                <w:i/>
                <w:u w:val="single"/>
                <w:lang w:bidi="en-US"/>
              </w:rPr>
              <w:t>Υψηλή δραστηριότητα</w:t>
            </w:r>
            <w:r w:rsidRPr="00996025">
              <w:rPr>
                <w:bCs/>
                <w:i/>
                <w:lang w:bidi="en-US"/>
              </w:rPr>
              <w:t xml:space="preserve"> </w:t>
            </w:r>
            <w:r w:rsidRPr="00996025">
              <w:rPr>
                <w:bCs/>
                <w:lang w:bidi="en-US"/>
              </w:rPr>
              <w:t>(εκπλήρωση τουλάχιστον 3 κριτηρίων)</w:t>
            </w:r>
          </w:p>
          <w:p w:rsidR="00DA4F6E" w:rsidRPr="00996025" w:rsidRDefault="00DA4F6E" w:rsidP="004E5971">
            <w:pPr>
              <w:jc w:val="both"/>
              <w:rPr>
                <w:bCs/>
                <w:lang w:bidi="en-US"/>
              </w:rPr>
            </w:pPr>
            <w:r w:rsidRPr="00996025">
              <w:rPr>
                <w:bCs/>
                <w:lang w:bidi="en-US"/>
              </w:rPr>
              <w:t>Τουλάχιστον 8 αρθρώσεις με ενεργό αρθρίτιδα</w:t>
            </w:r>
          </w:p>
          <w:p w:rsidR="00DA4F6E" w:rsidRPr="00996025" w:rsidRDefault="00DA4F6E" w:rsidP="004E5971">
            <w:pPr>
              <w:jc w:val="both"/>
              <w:rPr>
                <w:bCs/>
                <w:lang w:bidi="en-US"/>
              </w:rPr>
            </w:pPr>
            <w:r w:rsidRPr="00996025">
              <w:rPr>
                <w:bCs/>
                <w:lang w:bidi="en-US"/>
              </w:rPr>
              <w:t>Επίπεδα ΤΚΕ ή CRP τουλάχιστον 2πλάσια από τα ανώτερα φυσιολογικά όρια</w:t>
            </w:r>
          </w:p>
          <w:p w:rsidR="00DA4F6E" w:rsidRPr="00996025" w:rsidRDefault="00DA4F6E" w:rsidP="004E5971">
            <w:pPr>
              <w:jc w:val="both"/>
              <w:rPr>
                <w:bCs/>
                <w:lang w:bidi="en-US"/>
              </w:rPr>
            </w:pPr>
            <w:r w:rsidRPr="00996025">
              <w:rPr>
                <w:bCs/>
                <w:lang w:bidi="en-US"/>
              </w:rPr>
              <w:t xml:space="preserve">Σφαιρική εκτίμηση του ιατρού για τη συνολική δραστηριότητα της νόσου: </w:t>
            </w:r>
            <w:r w:rsidRPr="00996025">
              <w:rPr>
                <w:bCs/>
                <w:i/>
                <w:lang w:bidi="en-US"/>
              </w:rPr>
              <w:t>MDVAS global</w:t>
            </w:r>
            <w:r w:rsidRPr="00996025">
              <w:rPr>
                <w:bCs/>
                <w:lang w:bidi="en-US"/>
              </w:rPr>
              <w:t xml:space="preserve">  ≥7</w:t>
            </w:r>
          </w:p>
          <w:p w:rsidR="00DA4F6E" w:rsidRPr="00996025" w:rsidRDefault="00DA4F6E" w:rsidP="004E5971">
            <w:pPr>
              <w:jc w:val="both"/>
              <w:rPr>
                <w:bCs/>
                <w:vertAlign w:val="superscript"/>
                <w:lang w:bidi="en-US"/>
              </w:rPr>
            </w:pPr>
            <w:r w:rsidRPr="00996025">
              <w:rPr>
                <w:bCs/>
                <w:lang w:bidi="en-US"/>
              </w:rPr>
              <w:t>Σφαιρική εκτίμηση του  γονέα/ασθενή για την συνολική ευεξία: VAS ≥5</w:t>
            </w:r>
          </w:p>
          <w:p w:rsidR="00DA4F6E" w:rsidRPr="00996025" w:rsidRDefault="00DA4F6E" w:rsidP="004E5971">
            <w:pPr>
              <w:jc w:val="both"/>
              <w:rPr>
                <w:bCs/>
                <w:lang w:bidi="en-US"/>
              </w:rPr>
            </w:pPr>
          </w:p>
        </w:tc>
      </w:tr>
    </w:tbl>
    <w:p w:rsidR="00DA4F6E" w:rsidRPr="00D974AB" w:rsidRDefault="00DA4F6E" w:rsidP="00DA4F6E">
      <w:pPr>
        <w:jc w:val="both"/>
        <w:rPr>
          <w:b/>
        </w:rPr>
      </w:pPr>
    </w:p>
    <w:p w:rsidR="00DA4F6E" w:rsidRPr="00D974AB" w:rsidRDefault="00DA4F6E" w:rsidP="00DA4F6E">
      <w:pPr>
        <w:jc w:val="both"/>
        <w:rPr>
          <w:b/>
        </w:rPr>
      </w:pPr>
      <w:r w:rsidRPr="00D974AB">
        <w:rPr>
          <w:b/>
        </w:rPr>
        <w:br w:type="page"/>
      </w:r>
    </w:p>
    <w:p w:rsidR="00DA4F6E" w:rsidRPr="00D974AB" w:rsidRDefault="00DA4F6E" w:rsidP="00DA4F6E">
      <w:pPr>
        <w:jc w:val="both"/>
      </w:pPr>
      <w:r w:rsidRPr="00D974AB">
        <w:rPr>
          <w:b/>
        </w:rPr>
        <w:t xml:space="preserve">Πίνακας 4. Δυσμενείς προγνωστικοί παράγοντες και επίπεδα δραστηριότητας στη </w:t>
      </w:r>
    </w:p>
    <w:p w:rsidR="00DA4F6E" w:rsidRPr="00D974AB" w:rsidRDefault="00DA4F6E" w:rsidP="00DA4F6E">
      <w:pPr>
        <w:jc w:val="both"/>
        <w:rPr>
          <w:b/>
        </w:rPr>
      </w:pPr>
      <w:r w:rsidRPr="00D974AB">
        <w:rPr>
          <w:b/>
          <w:lang w:bidi="en-US"/>
        </w:rPr>
        <w:t>NIA</w:t>
      </w:r>
      <w:r w:rsidRPr="00D974AB">
        <w:rPr>
          <w:b/>
        </w:rPr>
        <w:t xml:space="preserve"> με ενεργό ιερολαγονίτιδα</w:t>
      </w:r>
    </w:p>
    <w:p w:rsidR="00DA4F6E" w:rsidRPr="00D974AB" w:rsidRDefault="00DA4F6E" w:rsidP="00DA4F6E">
      <w:pPr>
        <w:jc w:val="both"/>
        <w:rPr>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22"/>
      </w:tblGrid>
      <w:tr w:rsidR="00DA4F6E" w:rsidRPr="00D974AB" w:rsidTr="004E5971">
        <w:tc>
          <w:tcPr>
            <w:tcW w:w="8522" w:type="dxa"/>
            <w:tcBorders>
              <w:bottom w:val="nil"/>
            </w:tcBorders>
          </w:tcPr>
          <w:p w:rsidR="00DA4F6E" w:rsidRPr="00D974AB" w:rsidRDefault="00DA4F6E" w:rsidP="004E5971">
            <w:pPr>
              <w:jc w:val="both"/>
              <w:rPr>
                <w:b/>
                <w:bCs/>
                <w:lang w:bidi="en-US"/>
              </w:rPr>
            </w:pPr>
            <w:r w:rsidRPr="00D974AB">
              <w:rPr>
                <w:b/>
                <w:bCs/>
                <w:i/>
                <w:lang w:bidi="en-US"/>
              </w:rPr>
              <w:t>Δυσμενείς προγνωστικοί παράγοντες</w:t>
            </w:r>
          </w:p>
          <w:p w:rsidR="00DA4F6E" w:rsidRPr="007B07DB" w:rsidRDefault="00DA4F6E" w:rsidP="004E5971">
            <w:pPr>
              <w:jc w:val="both"/>
              <w:rPr>
                <w:bCs/>
                <w:lang w:bidi="en-US"/>
              </w:rPr>
            </w:pPr>
            <w:r w:rsidRPr="007B07DB">
              <w:rPr>
                <w:bCs/>
                <w:lang w:bidi="en-US"/>
              </w:rPr>
              <w:t>Ακτινολογικά ευρήματα αρθρικής βλάβης (διαβρώσεις ή στένωση μεσαρθρίου διαστήματος)</w:t>
            </w:r>
          </w:p>
        </w:tc>
      </w:tr>
      <w:tr w:rsidR="00DA4F6E" w:rsidRPr="00D974AB" w:rsidTr="004E5971">
        <w:tc>
          <w:tcPr>
            <w:tcW w:w="8522" w:type="dxa"/>
            <w:tcBorders>
              <w:top w:val="nil"/>
              <w:bottom w:val="nil"/>
            </w:tcBorders>
          </w:tcPr>
          <w:p w:rsidR="00DA4F6E" w:rsidRPr="00D974AB" w:rsidRDefault="00DA4F6E" w:rsidP="004E5971">
            <w:pPr>
              <w:jc w:val="both"/>
              <w:rPr>
                <w:b/>
                <w:bCs/>
                <w:i/>
                <w:lang w:bidi="en-US"/>
              </w:rPr>
            </w:pPr>
            <w:r w:rsidRPr="00D974AB">
              <w:rPr>
                <w:b/>
                <w:bCs/>
                <w:i/>
                <w:lang w:bidi="en-US"/>
              </w:rPr>
              <w:t>Επίπεδα δραστηριότητας της νόσου</w:t>
            </w:r>
          </w:p>
        </w:tc>
      </w:tr>
      <w:tr w:rsidR="00DA4F6E" w:rsidRPr="00D974AB" w:rsidTr="004E5971">
        <w:tc>
          <w:tcPr>
            <w:tcW w:w="8522" w:type="dxa"/>
            <w:tcBorders>
              <w:top w:val="nil"/>
              <w:bottom w:val="nil"/>
            </w:tcBorders>
          </w:tcPr>
          <w:p w:rsidR="00DA4F6E" w:rsidRPr="007B07DB" w:rsidRDefault="00DA4F6E" w:rsidP="004E5971">
            <w:pPr>
              <w:jc w:val="both"/>
              <w:rPr>
                <w:bCs/>
                <w:lang w:bidi="en-US"/>
              </w:rPr>
            </w:pPr>
            <w:r w:rsidRPr="007B07DB">
              <w:rPr>
                <w:bCs/>
                <w:i/>
                <w:u w:val="single"/>
                <w:lang w:bidi="en-US"/>
              </w:rPr>
              <w:t>Χαμηλή δραστηριότητα</w:t>
            </w:r>
            <w:r w:rsidRPr="007B07DB">
              <w:rPr>
                <w:bCs/>
                <w:i/>
                <w:lang w:bidi="en-US"/>
              </w:rPr>
              <w:t xml:space="preserve"> </w:t>
            </w:r>
            <w:r w:rsidRPr="007B07DB">
              <w:rPr>
                <w:bCs/>
                <w:lang w:bidi="en-US"/>
              </w:rPr>
              <w:t>(εκπλήρωση όλων)</w:t>
            </w:r>
          </w:p>
          <w:p w:rsidR="00DA4F6E" w:rsidRPr="007B07DB" w:rsidRDefault="00DA4F6E" w:rsidP="004E5971">
            <w:pPr>
              <w:jc w:val="both"/>
              <w:rPr>
                <w:bCs/>
                <w:lang w:bidi="en-US"/>
              </w:rPr>
            </w:pPr>
            <w:r w:rsidRPr="007B07DB">
              <w:rPr>
                <w:bCs/>
                <w:lang w:bidi="en-US"/>
              </w:rPr>
              <w:t xml:space="preserve"> Φυσιολογική κάμψη της σπονδυλικής στήλης </w:t>
            </w:r>
          </w:p>
          <w:p w:rsidR="00DA4F6E" w:rsidRPr="007B07DB" w:rsidRDefault="00DA4F6E" w:rsidP="004E5971">
            <w:pPr>
              <w:jc w:val="both"/>
              <w:rPr>
                <w:bCs/>
                <w:lang w:bidi="en-US"/>
              </w:rPr>
            </w:pPr>
            <w:r w:rsidRPr="007B07DB">
              <w:rPr>
                <w:bCs/>
                <w:lang w:bidi="en-US"/>
              </w:rPr>
              <w:t>ΤΚΕ ή CRP σε φυσιολογικά επίπεδα</w:t>
            </w:r>
          </w:p>
          <w:p w:rsidR="00DA4F6E" w:rsidRPr="007B07DB" w:rsidRDefault="00DA4F6E" w:rsidP="004E5971">
            <w:pPr>
              <w:jc w:val="both"/>
              <w:rPr>
                <w:bCs/>
                <w:lang w:bidi="en-US"/>
              </w:rPr>
            </w:pPr>
            <w:r w:rsidRPr="007B07DB">
              <w:rPr>
                <w:bCs/>
                <w:lang w:bidi="en-US"/>
              </w:rPr>
              <w:t xml:space="preserve">Σφαιρική εκτίμηση του ιατρού για τη συνολική δραστηριότητα  της νόσου: MDVAS </w:t>
            </w:r>
          </w:p>
          <w:p w:rsidR="00DA4F6E" w:rsidRPr="007B07DB" w:rsidRDefault="00DA4F6E" w:rsidP="004E5971">
            <w:pPr>
              <w:jc w:val="both"/>
              <w:rPr>
                <w:bCs/>
                <w:lang w:bidi="en-US"/>
              </w:rPr>
            </w:pPr>
            <w:r w:rsidRPr="007B07DB">
              <w:rPr>
                <w:bCs/>
                <w:lang w:bidi="en-US"/>
              </w:rPr>
              <w:t>global &lt;4</w:t>
            </w:r>
          </w:p>
          <w:p w:rsidR="00DA4F6E" w:rsidRPr="007B07DB" w:rsidRDefault="00DA4F6E" w:rsidP="004E5971">
            <w:pPr>
              <w:jc w:val="both"/>
              <w:rPr>
                <w:bCs/>
                <w:lang w:bidi="en-US"/>
              </w:rPr>
            </w:pPr>
            <w:r w:rsidRPr="007B07DB">
              <w:rPr>
                <w:bCs/>
                <w:lang w:bidi="en-US"/>
              </w:rPr>
              <w:t>Σφαιρική εκτίμηση του  γονέα/ασθενή για τη συνολική ευεξία: VAS&lt;2</w:t>
            </w:r>
          </w:p>
          <w:p w:rsidR="00DA4F6E" w:rsidRPr="007B07DB" w:rsidRDefault="00DA4F6E" w:rsidP="004E5971">
            <w:pPr>
              <w:jc w:val="both"/>
              <w:rPr>
                <w:bCs/>
                <w:lang w:bidi="en-US"/>
              </w:rPr>
            </w:pPr>
          </w:p>
        </w:tc>
      </w:tr>
      <w:tr w:rsidR="00DA4F6E" w:rsidRPr="00D974AB" w:rsidTr="004E5971">
        <w:tc>
          <w:tcPr>
            <w:tcW w:w="8522" w:type="dxa"/>
            <w:tcBorders>
              <w:top w:val="nil"/>
              <w:bottom w:val="nil"/>
            </w:tcBorders>
          </w:tcPr>
          <w:p w:rsidR="00DA4F6E" w:rsidRPr="007B07DB" w:rsidRDefault="00DA4F6E" w:rsidP="004E5971">
            <w:pPr>
              <w:jc w:val="both"/>
              <w:rPr>
                <w:bCs/>
                <w:lang w:bidi="en-US"/>
              </w:rPr>
            </w:pPr>
            <w:r w:rsidRPr="007B07DB">
              <w:rPr>
                <w:bCs/>
                <w:i/>
                <w:u w:val="single"/>
                <w:lang w:bidi="en-US"/>
              </w:rPr>
              <w:t>Μέτρια δραστηριότητα</w:t>
            </w:r>
            <w:r w:rsidRPr="007B07DB">
              <w:rPr>
                <w:bCs/>
                <w:lang w:bidi="en-US"/>
              </w:rPr>
              <w:t>(δεν εκπληρώνονται τα κριτήρια ούτε χαμηλής ούτε υψηλής δραστηριότητας της νόσου)</w:t>
            </w:r>
          </w:p>
          <w:p w:rsidR="00DA4F6E" w:rsidRPr="007B07DB" w:rsidRDefault="00DA4F6E" w:rsidP="004E5971">
            <w:pPr>
              <w:jc w:val="both"/>
              <w:rPr>
                <w:bCs/>
                <w:lang w:bidi="en-US"/>
              </w:rPr>
            </w:pPr>
            <w:r w:rsidRPr="007B07DB">
              <w:rPr>
                <w:bCs/>
                <w:lang w:bidi="en-US"/>
              </w:rPr>
              <w:t>1 ή περισσότερα κριτήρια με μεγαλύτερο score/τιμές από αυτές της χαμηλής δραστηριότητας, και  &lt;2 κριτήρια με μικρότερο  σκορ/τιμές  από αυτές της υψηλής δραστηριότητας  της νόσου</w:t>
            </w:r>
          </w:p>
          <w:p w:rsidR="00DA4F6E" w:rsidRPr="007B07DB" w:rsidRDefault="00DA4F6E" w:rsidP="004E5971">
            <w:pPr>
              <w:jc w:val="both"/>
              <w:rPr>
                <w:bCs/>
                <w:lang w:bidi="en-US"/>
              </w:rPr>
            </w:pPr>
          </w:p>
        </w:tc>
      </w:tr>
      <w:tr w:rsidR="00DA4F6E" w:rsidRPr="00D974AB" w:rsidTr="004E5971">
        <w:tc>
          <w:tcPr>
            <w:tcW w:w="8522" w:type="dxa"/>
            <w:tcBorders>
              <w:top w:val="nil"/>
            </w:tcBorders>
          </w:tcPr>
          <w:p w:rsidR="00DA4F6E" w:rsidRPr="007B07DB" w:rsidRDefault="00DA4F6E" w:rsidP="004E5971">
            <w:pPr>
              <w:jc w:val="both"/>
              <w:rPr>
                <w:bCs/>
                <w:lang w:bidi="en-US"/>
              </w:rPr>
            </w:pPr>
            <w:r w:rsidRPr="007B07DB">
              <w:rPr>
                <w:bCs/>
                <w:i/>
                <w:u w:val="single"/>
                <w:lang w:bidi="en-US"/>
              </w:rPr>
              <w:t>Υψηλή δραστηριότητα</w:t>
            </w:r>
            <w:r w:rsidRPr="007B07DB">
              <w:rPr>
                <w:bCs/>
                <w:i/>
                <w:lang w:bidi="en-US"/>
              </w:rPr>
              <w:t xml:space="preserve"> </w:t>
            </w:r>
            <w:r w:rsidRPr="007B07DB">
              <w:rPr>
                <w:bCs/>
                <w:lang w:bidi="en-US"/>
              </w:rPr>
              <w:t>(εκπλήρωση τουλάχιστον 2 κριτηρίων)</w:t>
            </w:r>
          </w:p>
          <w:p w:rsidR="00DA4F6E" w:rsidRPr="007B07DB" w:rsidRDefault="00DA4F6E" w:rsidP="004E5971">
            <w:pPr>
              <w:jc w:val="both"/>
              <w:rPr>
                <w:bCs/>
                <w:lang w:bidi="en-US"/>
              </w:rPr>
            </w:pPr>
            <w:r w:rsidRPr="007B07DB">
              <w:rPr>
                <w:bCs/>
                <w:lang w:bidi="en-US"/>
              </w:rPr>
              <w:t>Επίπεδα ΤΚΕ ή CRP τουλάχιστον 2πλάσια από τα ανώτερα φυσιολογικά όρια</w:t>
            </w:r>
          </w:p>
          <w:p w:rsidR="00DA4F6E" w:rsidRPr="007B07DB" w:rsidRDefault="00DA4F6E" w:rsidP="004E5971">
            <w:pPr>
              <w:jc w:val="both"/>
              <w:rPr>
                <w:bCs/>
                <w:lang w:bidi="en-US"/>
              </w:rPr>
            </w:pPr>
            <w:r w:rsidRPr="007B07DB">
              <w:rPr>
                <w:bCs/>
                <w:lang w:bidi="en-US"/>
              </w:rPr>
              <w:t xml:space="preserve">Σφαιρική εκτίμηση του ιατρού για τη συνολική δραστηριότητα  της νόσου: MDVAS </w:t>
            </w:r>
          </w:p>
          <w:p w:rsidR="00DA4F6E" w:rsidRPr="007B07DB" w:rsidRDefault="00DA4F6E" w:rsidP="004E5971">
            <w:pPr>
              <w:jc w:val="both"/>
              <w:rPr>
                <w:bCs/>
                <w:lang w:bidi="en-US"/>
              </w:rPr>
            </w:pPr>
            <w:r w:rsidRPr="007B07DB">
              <w:rPr>
                <w:bCs/>
                <w:lang w:bidi="en-US"/>
              </w:rPr>
              <w:t>global ≥7/10</w:t>
            </w:r>
          </w:p>
          <w:p w:rsidR="00DA4F6E" w:rsidRPr="007B07DB" w:rsidRDefault="00DA4F6E" w:rsidP="004E5971">
            <w:pPr>
              <w:jc w:val="both"/>
              <w:rPr>
                <w:bCs/>
                <w:vertAlign w:val="superscript"/>
                <w:lang w:bidi="en-US"/>
              </w:rPr>
            </w:pPr>
            <w:r w:rsidRPr="007B07DB">
              <w:rPr>
                <w:bCs/>
                <w:lang w:bidi="en-US"/>
              </w:rPr>
              <w:t>Σφαιρική εκτίμηση του  γονέα/ασθενή για τη συνολική ευεξία: VAS≥4</w:t>
            </w:r>
          </w:p>
        </w:tc>
      </w:tr>
    </w:tbl>
    <w:p w:rsidR="00DA4F6E" w:rsidRPr="00D974AB" w:rsidRDefault="00DA4F6E" w:rsidP="00DA4F6E">
      <w:pPr>
        <w:jc w:val="both"/>
        <w:rPr>
          <w:b/>
        </w:rPr>
      </w:pPr>
    </w:p>
    <w:p w:rsidR="00DA4F6E" w:rsidRPr="00D974AB" w:rsidRDefault="00DA4F6E" w:rsidP="00DA4F6E">
      <w:pPr>
        <w:jc w:val="both"/>
        <w:rPr>
          <w:b/>
        </w:rPr>
      </w:pPr>
      <w:r w:rsidRPr="00D974AB">
        <w:rPr>
          <w:b/>
        </w:rPr>
        <w:br w:type="page"/>
      </w:r>
    </w:p>
    <w:p w:rsidR="00DA4F6E" w:rsidRPr="00D974AB" w:rsidRDefault="00DA4F6E" w:rsidP="00DA4F6E">
      <w:pPr>
        <w:jc w:val="both"/>
        <w:rPr>
          <w:b/>
        </w:rPr>
      </w:pPr>
      <w:r w:rsidRPr="00D974AB">
        <w:rPr>
          <w:b/>
        </w:rPr>
        <w:t xml:space="preserve">Πίνακας 5. Δυσμενείς προγνωστικοί παράγοντες και επίπεδα δραστηριότητας στη </w:t>
      </w:r>
    </w:p>
    <w:p w:rsidR="00DA4F6E" w:rsidRDefault="00DA4F6E" w:rsidP="00DA4F6E">
      <w:pPr>
        <w:jc w:val="both"/>
        <w:rPr>
          <w:b/>
        </w:rPr>
      </w:pPr>
      <w:r w:rsidRPr="00D974AB">
        <w:rPr>
          <w:b/>
        </w:rPr>
        <w:t>συστηματική NIA με ενεργείς συστηματικές εκδηλώσεις και διαφόρου βαθμού ενεργό αρθρίτιδα</w:t>
      </w:r>
    </w:p>
    <w:p w:rsidR="00651DF6" w:rsidRPr="00D974AB" w:rsidRDefault="00651DF6" w:rsidP="00DA4F6E">
      <w:pPr>
        <w:jc w:val="both"/>
        <w:rPr>
          <w:b/>
        </w:rPr>
      </w:pPr>
    </w:p>
    <w:tbl>
      <w:tblPr>
        <w:tblW w:w="875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55"/>
      </w:tblGrid>
      <w:tr w:rsidR="00DA4F6E" w:rsidRPr="00D974AB" w:rsidTr="004E5971">
        <w:tc>
          <w:tcPr>
            <w:tcW w:w="8755" w:type="dxa"/>
            <w:tcBorders>
              <w:bottom w:val="nil"/>
            </w:tcBorders>
          </w:tcPr>
          <w:p w:rsidR="00DA4F6E" w:rsidRPr="0095164B" w:rsidRDefault="00DA4F6E" w:rsidP="004E5971">
            <w:pPr>
              <w:jc w:val="both"/>
              <w:rPr>
                <w:bCs/>
                <w:lang w:bidi="en-US"/>
              </w:rPr>
            </w:pPr>
            <w:r w:rsidRPr="0095164B">
              <w:rPr>
                <w:bCs/>
                <w:i/>
                <w:lang w:bidi="en-US"/>
              </w:rPr>
              <w:t>Δυσμενείς προγνωστικοί παράγοντες</w:t>
            </w:r>
          </w:p>
          <w:p w:rsidR="00DA4F6E" w:rsidRPr="0095164B" w:rsidRDefault="00DA4F6E" w:rsidP="004E5971">
            <w:pPr>
              <w:jc w:val="both"/>
              <w:rPr>
                <w:bCs/>
                <w:lang w:bidi="en-US"/>
              </w:rPr>
            </w:pPr>
            <w:r w:rsidRPr="0095164B">
              <w:rPr>
                <w:bCs/>
                <w:lang w:bidi="en-US"/>
              </w:rPr>
              <w:t>Παραμένουσα  επί 6μηνο σοβαρή  ενεργός συστηματική νόσος που ορίζεται από την παραμονή πυρετού και αυξημένων δεικτών οξείας φάσης ή από την ανάγκη συνεχούς χορήγησης κορτικοστεροειδών</w:t>
            </w:r>
          </w:p>
        </w:tc>
      </w:tr>
      <w:tr w:rsidR="00DA4F6E" w:rsidRPr="00D974AB" w:rsidTr="004E5971">
        <w:tc>
          <w:tcPr>
            <w:tcW w:w="8755" w:type="dxa"/>
            <w:tcBorders>
              <w:top w:val="nil"/>
              <w:bottom w:val="nil"/>
            </w:tcBorders>
          </w:tcPr>
          <w:p w:rsidR="00DA4F6E" w:rsidRPr="0095164B" w:rsidRDefault="00DA4F6E" w:rsidP="004E5971">
            <w:pPr>
              <w:jc w:val="both"/>
              <w:rPr>
                <w:bCs/>
                <w:i/>
                <w:lang w:bidi="en-US"/>
              </w:rPr>
            </w:pPr>
            <w:r w:rsidRPr="0095164B">
              <w:rPr>
                <w:bCs/>
                <w:i/>
                <w:lang w:bidi="en-US"/>
              </w:rPr>
              <w:t xml:space="preserve">Επίπεδα δραστηριότητας της νόσου </w:t>
            </w:r>
          </w:p>
          <w:p w:rsidR="00DA4F6E" w:rsidRPr="0095164B" w:rsidRDefault="00DA4F6E" w:rsidP="004E5971">
            <w:pPr>
              <w:jc w:val="both"/>
              <w:rPr>
                <w:bCs/>
                <w:i/>
                <w:u w:val="single"/>
                <w:lang w:bidi="en-US"/>
              </w:rPr>
            </w:pPr>
            <w:r w:rsidRPr="0095164B">
              <w:rPr>
                <w:bCs/>
                <w:i/>
                <w:u w:val="single"/>
                <w:lang w:bidi="en-US"/>
              </w:rPr>
              <w:t>Χαμηλή δραστηριότητα</w:t>
            </w:r>
            <w:r w:rsidRPr="0095164B">
              <w:rPr>
                <w:bCs/>
                <w:i/>
                <w:lang w:bidi="en-US"/>
              </w:rPr>
              <w:t>:</w:t>
            </w:r>
            <w:r w:rsidRPr="0095164B">
              <w:rPr>
                <w:bCs/>
                <w:lang w:bidi="en-US"/>
              </w:rPr>
              <w:t xml:space="preserve"> MDVAS global &lt;5  + απουσία ενεργού αρθρίτιδας</w:t>
            </w:r>
            <w:r w:rsidRPr="0095164B">
              <w:rPr>
                <w:bCs/>
                <w:i/>
                <w:lang w:bidi="en-US"/>
              </w:rPr>
              <w:t xml:space="preserve">. </w:t>
            </w:r>
          </w:p>
        </w:tc>
      </w:tr>
      <w:tr w:rsidR="00DA4F6E" w:rsidRPr="00D974AB" w:rsidTr="004E5971">
        <w:trPr>
          <w:trHeight w:val="1122"/>
        </w:trPr>
        <w:tc>
          <w:tcPr>
            <w:tcW w:w="8755" w:type="dxa"/>
            <w:tcBorders>
              <w:top w:val="nil"/>
            </w:tcBorders>
          </w:tcPr>
          <w:p w:rsidR="00DA4F6E" w:rsidRPr="0095164B" w:rsidRDefault="00DA4F6E" w:rsidP="004E5971">
            <w:pPr>
              <w:jc w:val="both"/>
              <w:rPr>
                <w:bCs/>
                <w:lang w:bidi="en-US"/>
              </w:rPr>
            </w:pPr>
            <w:r w:rsidRPr="0095164B">
              <w:rPr>
                <w:bCs/>
                <w:i/>
                <w:u w:val="single"/>
                <w:lang w:bidi="en-US"/>
              </w:rPr>
              <w:t>Μέτρια δραστηριότητα</w:t>
            </w:r>
            <w:r w:rsidRPr="0095164B">
              <w:rPr>
                <w:bCs/>
                <w:i/>
                <w:lang w:bidi="en-US"/>
              </w:rPr>
              <w:t xml:space="preserve">: </w:t>
            </w:r>
            <w:r w:rsidRPr="0095164B">
              <w:rPr>
                <w:bCs/>
                <w:lang w:bidi="en-US"/>
              </w:rPr>
              <w:t>MDVAS global &lt;5 + ολιγοαρθρίτιδα (1-4 αρθρώσεις).</w:t>
            </w:r>
          </w:p>
          <w:p w:rsidR="00DA4F6E" w:rsidRPr="0095164B" w:rsidRDefault="00DA4F6E" w:rsidP="004E5971">
            <w:pPr>
              <w:jc w:val="both"/>
              <w:rPr>
                <w:bCs/>
                <w:lang w:bidi="en-US"/>
              </w:rPr>
            </w:pPr>
            <w:r w:rsidRPr="0095164B">
              <w:rPr>
                <w:bCs/>
                <w:i/>
                <w:u w:val="single"/>
                <w:lang w:bidi="en-US"/>
              </w:rPr>
              <w:t>Υψηλή δραστηριότητα</w:t>
            </w:r>
            <w:r w:rsidRPr="0095164B">
              <w:rPr>
                <w:bCs/>
                <w:i/>
                <w:lang w:bidi="en-US"/>
              </w:rPr>
              <w:t>:</w:t>
            </w:r>
            <w:r w:rsidRPr="0095164B">
              <w:rPr>
                <w:bCs/>
                <w:lang w:bidi="en-US"/>
              </w:rPr>
              <w:t xml:space="preserve"> MDVAS global ≥5 ανεξάρτητα από τον αριθμό των προσβεβλημένων αρθρώσεων</w:t>
            </w:r>
          </w:p>
        </w:tc>
      </w:tr>
    </w:tbl>
    <w:p w:rsidR="00DA4F6E" w:rsidRDefault="00DA4F6E" w:rsidP="00A067A2">
      <w:pPr>
        <w:jc w:val="both"/>
        <w:rPr>
          <w:b/>
        </w:rPr>
      </w:pPr>
    </w:p>
    <w:p w:rsidR="00DA4F6E" w:rsidRDefault="00DA4F6E">
      <w:pPr>
        <w:rPr>
          <w:b/>
        </w:rPr>
      </w:pPr>
      <w:r>
        <w:rPr>
          <w:b/>
        </w:rPr>
        <w:br w:type="page"/>
      </w:r>
    </w:p>
    <w:p w:rsidR="00DA4F6E" w:rsidRPr="00D974AB" w:rsidRDefault="00DA4F6E" w:rsidP="00DA4F6E">
      <w:pPr>
        <w:jc w:val="both"/>
      </w:pPr>
      <w:r w:rsidRPr="00D974AB">
        <w:rPr>
          <w:b/>
        </w:rPr>
        <w:t xml:space="preserve">Πίνακας 6. Δυσμενείς προγνωστικοί παράγοντες και επίπεδα δραστηριότητας στη </w:t>
      </w:r>
    </w:p>
    <w:p w:rsidR="00DA4F6E" w:rsidRPr="00D974AB" w:rsidRDefault="00DA4F6E" w:rsidP="00DA4F6E">
      <w:pPr>
        <w:jc w:val="both"/>
        <w:rPr>
          <w:b/>
        </w:rPr>
      </w:pPr>
      <w:r w:rsidRPr="00D974AB">
        <w:rPr>
          <w:b/>
        </w:rPr>
        <w:t xml:space="preserve">συστηματική </w:t>
      </w:r>
      <w:r w:rsidRPr="00D974AB">
        <w:rPr>
          <w:b/>
          <w:lang w:bidi="en-US"/>
        </w:rPr>
        <w:t>NIA</w:t>
      </w:r>
      <w:r w:rsidRPr="00D974AB">
        <w:rPr>
          <w:b/>
        </w:rPr>
        <w:t xml:space="preserve"> με ενεργό αρθρίτιδα αλλά χωρίς συστηματικές εκδηλώσεις</w:t>
      </w:r>
      <w:r w:rsidRPr="00D974AB">
        <w:rPr>
          <w:b/>
          <w:vertAlign w:val="superscript"/>
        </w:rPr>
        <w:t>3</w:t>
      </w:r>
    </w:p>
    <w:p w:rsidR="00DA4F6E" w:rsidRPr="00D974AB" w:rsidRDefault="00DA4F6E" w:rsidP="00DA4F6E">
      <w:pPr>
        <w:jc w:val="both"/>
        <w:rPr>
          <w:b/>
        </w:rPr>
      </w:pPr>
    </w:p>
    <w:tbl>
      <w:tblPr>
        <w:tblW w:w="0" w:type="auto"/>
        <w:tblBorders>
          <w:top w:val="single" w:sz="4" w:space="0" w:color="auto"/>
          <w:bottom w:val="single" w:sz="4" w:space="0" w:color="auto"/>
        </w:tblBorders>
        <w:tblLook w:val="04A0" w:firstRow="1" w:lastRow="0" w:firstColumn="1" w:lastColumn="0" w:noHBand="0" w:noVBand="1"/>
      </w:tblPr>
      <w:tblGrid>
        <w:gridCol w:w="8522"/>
      </w:tblGrid>
      <w:tr w:rsidR="00DA4F6E" w:rsidRPr="00D974AB" w:rsidTr="00651DF6">
        <w:tc>
          <w:tcPr>
            <w:tcW w:w="8522" w:type="dxa"/>
          </w:tcPr>
          <w:p w:rsidR="00DA4F6E" w:rsidRPr="00F90BA4" w:rsidRDefault="00DA4F6E" w:rsidP="00651DF6">
            <w:pPr>
              <w:pBdr>
                <w:top w:val="single" w:sz="4" w:space="1" w:color="auto"/>
              </w:pBdr>
              <w:jc w:val="both"/>
              <w:rPr>
                <w:b/>
                <w:bCs/>
                <w:lang w:bidi="en-US"/>
              </w:rPr>
            </w:pPr>
            <w:r w:rsidRPr="00F90BA4">
              <w:rPr>
                <w:b/>
                <w:bCs/>
                <w:i/>
                <w:lang w:bidi="en-US"/>
              </w:rPr>
              <w:t xml:space="preserve">Δυσμενείς προγνωστικοί παράγοντες </w:t>
            </w:r>
            <w:r w:rsidRPr="00F90BA4">
              <w:rPr>
                <w:b/>
                <w:bCs/>
                <w:lang w:bidi="en-US"/>
              </w:rPr>
              <w:t>( εκπλήρωση 1 κριτηρίου)</w:t>
            </w:r>
          </w:p>
          <w:p w:rsidR="00DA4F6E" w:rsidRPr="00F90BA4" w:rsidRDefault="00DA4F6E" w:rsidP="004E5971">
            <w:pPr>
              <w:numPr>
                <w:ilvl w:val="0"/>
                <w:numId w:val="1"/>
              </w:numPr>
              <w:jc w:val="both"/>
              <w:rPr>
                <w:bCs/>
                <w:lang w:bidi="en-US"/>
              </w:rPr>
            </w:pPr>
            <w:r w:rsidRPr="00F90BA4">
              <w:rPr>
                <w:bCs/>
                <w:lang w:bidi="en-US"/>
              </w:rPr>
              <w:t>Αρθρίτιδα ισχίου</w:t>
            </w:r>
          </w:p>
          <w:p w:rsidR="00DA4F6E" w:rsidRPr="00F90BA4" w:rsidRDefault="00DA4F6E" w:rsidP="004E5971">
            <w:pPr>
              <w:numPr>
                <w:ilvl w:val="0"/>
                <w:numId w:val="1"/>
              </w:numPr>
              <w:jc w:val="both"/>
              <w:rPr>
                <w:bCs/>
                <w:lang w:bidi="en-US"/>
              </w:rPr>
            </w:pPr>
            <w:r w:rsidRPr="00F90BA4">
              <w:rPr>
                <w:bCs/>
                <w:lang w:bidi="en-US"/>
              </w:rPr>
              <w:t>Ακτινολογικά ευρήματα αρθρικής βλάβης (διαβρώσεις ή στένωση μεσαρθρίου διαστήματος)</w:t>
            </w:r>
          </w:p>
        </w:tc>
      </w:tr>
      <w:tr w:rsidR="00DA4F6E" w:rsidRPr="00D974AB" w:rsidTr="00651DF6">
        <w:tc>
          <w:tcPr>
            <w:tcW w:w="8522" w:type="dxa"/>
          </w:tcPr>
          <w:p w:rsidR="00DA4F6E" w:rsidRPr="00D974AB" w:rsidRDefault="00DA4F6E" w:rsidP="004E5971">
            <w:pPr>
              <w:jc w:val="both"/>
              <w:rPr>
                <w:b/>
                <w:bCs/>
                <w:i/>
                <w:u w:val="single"/>
                <w:lang w:bidi="en-US"/>
              </w:rPr>
            </w:pPr>
          </w:p>
          <w:p w:rsidR="00DA4F6E" w:rsidRPr="00D974AB" w:rsidRDefault="00DA4F6E" w:rsidP="004E5971">
            <w:pPr>
              <w:jc w:val="both"/>
              <w:rPr>
                <w:b/>
                <w:bCs/>
                <w:i/>
                <w:u w:val="single"/>
                <w:lang w:bidi="en-US"/>
              </w:rPr>
            </w:pPr>
            <w:r w:rsidRPr="00D974AB">
              <w:rPr>
                <w:b/>
                <w:bCs/>
                <w:i/>
                <w:u w:val="single"/>
                <w:lang w:bidi="en-US"/>
              </w:rPr>
              <w:t xml:space="preserve">Επίπεδα δραστηριότητας της  νόσου (σύμφωνα με τις συστάσεις του ACR 2011) </w:t>
            </w:r>
          </w:p>
        </w:tc>
      </w:tr>
      <w:tr w:rsidR="00DA4F6E" w:rsidRPr="00F90BA4" w:rsidTr="00651DF6">
        <w:tc>
          <w:tcPr>
            <w:tcW w:w="8522" w:type="dxa"/>
          </w:tcPr>
          <w:p w:rsidR="00DA4F6E" w:rsidRPr="00F90BA4" w:rsidRDefault="00DA4F6E" w:rsidP="004E5971">
            <w:pPr>
              <w:jc w:val="both"/>
              <w:rPr>
                <w:bCs/>
                <w:u w:val="single"/>
                <w:lang w:bidi="en-US"/>
              </w:rPr>
            </w:pPr>
            <w:r w:rsidRPr="00F90BA4">
              <w:rPr>
                <w:bCs/>
                <w:i/>
                <w:u w:val="single"/>
                <w:lang w:bidi="en-US"/>
              </w:rPr>
              <w:t xml:space="preserve">Χαμηλή  δραστηριότητα </w:t>
            </w:r>
            <w:r w:rsidRPr="00F90BA4">
              <w:rPr>
                <w:bCs/>
                <w:u w:val="single"/>
                <w:lang w:bidi="en-US"/>
              </w:rPr>
              <w:t>(εκπλήρωση όλων)</w:t>
            </w:r>
          </w:p>
          <w:p w:rsidR="00DA4F6E" w:rsidRPr="00F90BA4" w:rsidRDefault="00DA4F6E" w:rsidP="004E5971">
            <w:pPr>
              <w:jc w:val="both"/>
              <w:rPr>
                <w:bCs/>
                <w:lang w:bidi="en-US"/>
              </w:rPr>
            </w:pPr>
            <w:r w:rsidRPr="00F90BA4">
              <w:rPr>
                <w:bCs/>
                <w:lang w:bidi="en-US"/>
              </w:rPr>
              <w:t>≤ 4 αρθρώσεις με ενεργό αρθρίτιδα κατά την τρέχουσα εκτίμηση</w:t>
            </w:r>
          </w:p>
          <w:p w:rsidR="00DA4F6E" w:rsidRPr="00F90BA4" w:rsidRDefault="00DA4F6E" w:rsidP="004E5971">
            <w:pPr>
              <w:jc w:val="both"/>
              <w:rPr>
                <w:bCs/>
                <w:lang w:bidi="en-US"/>
              </w:rPr>
            </w:pPr>
            <w:r w:rsidRPr="00F90BA4">
              <w:rPr>
                <w:bCs/>
                <w:lang w:bidi="en-US"/>
              </w:rPr>
              <w:t>ΤΚΕ ή CRP σε φυσιολογικά επίπεδα</w:t>
            </w:r>
          </w:p>
          <w:p w:rsidR="00DA4F6E" w:rsidRPr="00F90BA4" w:rsidRDefault="00DA4F6E" w:rsidP="004E5971">
            <w:pPr>
              <w:jc w:val="both"/>
              <w:rPr>
                <w:bCs/>
                <w:lang w:bidi="en-US"/>
              </w:rPr>
            </w:pPr>
            <w:r w:rsidRPr="00F90BA4">
              <w:rPr>
                <w:bCs/>
                <w:lang w:bidi="en-US"/>
              </w:rPr>
              <w:t>Σφαιρική εκτίμηση του ιατρού για τη συνολική δραστηριότητα  της νόσου:MDVAS global &lt; 4</w:t>
            </w:r>
          </w:p>
          <w:p w:rsidR="00DA4F6E" w:rsidRPr="00F90BA4" w:rsidRDefault="00DA4F6E" w:rsidP="004E5971">
            <w:pPr>
              <w:jc w:val="both"/>
              <w:rPr>
                <w:bCs/>
                <w:vertAlign w:val="superscript"/>
                <w:lang w:bidi="en-US"/>
              </w:rPr>
            </w:pPr>
            <w:r w:rsidRPr="00F90BA4">
              <w:rPr>
                <w:bCs/>
                <w:lang w:bidi="en-US"/>
              </w:rPr>
              <w:t>Σφαιρική εκτίμηση του  γονέα/ασθενή για τη συνολική ευεξία: VAS &lt;2</w:t>
            </w:r>
          </w:p>
        </w:tc>
      </w:tr>
      <w:tr w:rsidR="00DA4F6E" w:rsidRPr="00F90BA4" w:rsidTr="00651DF6">
        <w:tc>
          <w:tcPr>
            <w:tcW w:w="8522" w:type="dxa"/>
          </w:tcPr>
          <w:p w:rsidR="00DA4F6E" w:rsidRPr="00F90BA4" w:rsidRDefault="00DA4F6E" w:rsidP="004E5971">
            <w:pPr>
              <w:jc w:val="both"/>
              <w:rPr>
                <w:bCs/>
                <w:lang w:bidi="en-US"/>
              </w:rPr>
            </w:pPr>
            <w:r w:rsidRPr="00F90BA4">
              <w:rPr>
                <w:bCs/>
                <w:i/>
                <w:u w:val="single"/>
                <w:lang w:bidi="en-US"/>
              </w:rPr>
              <w:t xml:space="preserve">Μέτρια δραστηριότητα </w:t>
            </w:r>
            <w:r w:rsidRPr="00F90BA4">
              <w:rPr>
                <w:bCs/>
                <w:lang w:bidi="en-US"/>
              </w:rPr>
              <w:t>(δεν εκπληρώνονται τα κριτήρια ούτε της χαμηλής ούτε της υψηλής δραστηριότητας της νόσου)</w:t>
            </w:r>
          </w:p>
          <w:p w:rsidR="00DA4F6E" w:rsidRPr="00F90BA4" w:rsidRDefault="00DA4F6E" w:rsidP="004E5971">
            <w:pPr>
              <w:jc w:val="both"/>
              <w:rPr>
                <w:bCs/>
                <w:lang w:bidi="en-US"/>
              </w:rPr>
            </w:pPr>
            <w:r w:rsidRPr="00F90BA4">
              <w:rPr>
                <w:bCs/>
                <w:lang w:bidi="en-US"/>
              </w:rPr>
              <w:t>1 ή περισσότερα κριτήρια με &gt;score/τιμές από αυτές της χαμηλής, και  &lt; 3 κριτήρια με  &lt; score /τιμές  από αυτές της υψηλής δραστηριότητας της νόσου</w:t>
            </w:r>
          </w:p>
        </w:tc>
      </w:tr>
      <w:tr w:rsidR="00DA4F6E" w:rsidRPr="00F90BA4" w:rsidTr="00651DF6">
        <w:tc>
          <w:tcPr>
            <w:tcW w:w="8522" w:type="dxa"/>
          </w:tcPr>
          <w:p w:rsidR="00DA4F6E" w:rsidRPr="00F90BA4" w:rsidRDefault="00DA4F6E" w:rsidP="004E5971">
            <w:pPr>
              <w:jc w:val="both"/>
              <w:rPr>
                <w:bCs/>
                <w:lang w:bidi="en-US"/>
              </w:rPr>
            </w:pPr>
            <w:r w:rsidRPr="00F90BA4">
              <w:rPr>
                <w:bCs/>
                <w:i/>
                <w:u w:val="single"/>
                <w:lang w:bidi="en-US"/>
              </w:rPr>
              <w:t xml:space="preserve">Υψηλή  δραστηριότητα </w:t>
            </w:r>
            <w:r w:rsidRPr="00F90BA4">
              <w:rPr>
                <w:bCs/>
                <w:lang w:bidi="en-US"/>
              </w:rPr>
              <w:t>(εκπλήρωση τουλάχιστον 3 κριτηρίων)</w:t>
            </w:r>
          </w:p>
          <w:p w:rsidR="00DA4F6E" w:rsidRPr="00F90BA4" w:rsidRDefault="00DA4F6E" w:rsidP="004E5971">
            <w:pPr>
              <w:jc w:val="both"/>
              <w:rPr>
                <w:bCs/>
                <w:lang w:bidi="en-US"/>
              </w:rPr>
            </w:pPr>
            <w:r w:rsidRPr="00F90BA4">
              <w:rPr>
                <w:bCs/>
                <w:lang w:bidi="en-US"/>
              </w:rPr>
              <w:t>Επίπεδα ΤΚΕ ή CRP τουλάχιστον 2πλάσια από τα ανώτερα φυσιολογικά όρια</w:t>
            </w:r>
          </w:p>
          <w:p w:rsidR="00DA4F6E" w:rsidRPr="00F90BA4" w:rsidRDefault="00DA4F6E" w:rsidP="004E5971">
            <w:pPr>
              <w:jc w:val="both"/>
              <w:rPr>
                <w:bCs/>
                <w:lang w:bidi="en-US"/>
              </w:rPr>
            </w:pPr>
            <w:r w:rsidRPr="00F90BA4">
              <w:rPr>
                <w:bCs/>
                <w:lang w:bidi="en-US"/>
              </w:rPr>
              <w:t>Σφαιρική εκτίμηση του ιατρού για τη συνολική δραστηριότητα  της νόσου: MDVAS global ≥7</w:t>
            </w:r>
          </w:p>
          <w:p w:rsidR="00DA4F6E" w:rsidRPr="00F90BA4" w:rsidRDefault="00DA4F6E" w:rsidP="004E5971">
            <w:pPr>
              <w:jc w:val="both"/>
              <w:rPr>
                <w:bCs/>
                <w:vertAlign w:val="superscript"/>
                <w:lang w:bidi="en-US"/>
              </w:rPr>
            </w:pPr>
            <w:r w:rsidRPr="00F90BA4">
              <w:rPr>
                <w:bCs/>
                <w:lang w:bidi="en-US"/>
              </w:rPr>
              <w:t>Σφαιρική εκτίμηση του  γονέα/ασθενή για τη συνολική ευεξία: ≥5</w:t>
            </w:r>
          </w:p>
        </w:tc>
      </w:tr>
    </w:tbl>
    <w:p w:rsidR="00DA4F6E" w:rsidRPr="00F90BA4" w:rsidRDefault="00DA4F6E" w:rsidP="00DA4F6E">
      <w:pPr>
        <w:jc w:val="both"/>
      </w:pPr>
    </w:p>
    <w:p w:rsidR="00DA4F6E" w:rsidRDefault="00DA4F6E">
      <w:pPr>
        <w:rPr>
          <w:b/>
        </w:rPr>
      </w:pPr>
      <w:r>
        <w:rPr>
          <w:b/>
        </w:rPr>
        <w:br w:type="page"/>
      </w:r>
    </w:p>
    <w:p w:rsidR="00F77617" w:rsidRDefault="00F77617" w:rsidP="00F77617">
      <w:pPr>
        <w:jc w:val="both"/>
        <w:rPr>
          <w:b/>
          <w:i/>
        </w:rPr>
      </w:pPr>
      <w:r w:rsidRPr="00D974AB">
        <w:rPr>
          <w:b/>
          <w:bCs/>
        </w:rPr>
        <w:t xml:space="preserve">Πίνακας 7. </w:t>
      </w:r>
      <w:r w:rsidRPr="00D974AB">
        <w:rPr>
          <w:b/>
          <w:i/>
        </w:rPr>
        <w:t>Μη στεροειδή  αντιφλεγμονώδη φάρμακα  (ΜΣΑΦ) που χρησιμοποιούνται  στη Νεανική Ιδιοπαθή Αρθρίτιδα</w:t>
      </w:r>
    </w:p>
    <w:p w:rsidR="00651DF6" w:rsidRPr="00D974AB" w:rsidRDefault="00651DF6" w:rsidP="00F77617">
      <w:pPr>
        <w:jc w:val="both"/>
        <w:rPr>
          <w:b/>
          <w:i/>
        </w:rPr>
      </w:pPr>
    </w:p>
    <w:tbl>
      <w:tblPr>
        <w:tblW w:w="8080" w:type="dxa"/>
        <w:tblInd w:w="392" w:type="dxa"/>
        <w:tblBorders>
          <w:top w:val="single" w:sz="4" w:space="0" w:color="auto"/>
          <w:bottom w:val="single" w:sz="4" w:space="0" w:color="auto"/>
        </w:tblBorders>
        <w:tblLayout w:type="fixed"/>
        <w:tblLook w:val="0000" w:firstRow="0" w:lastRow="0" w:firstColumn="0" w:lastColumn="0" w:noHBand="0" w:noVBand="0"/>
      </w:tblPr>
      <w:tblGrid>
        <w:gridCol w:w="1883"/>
        <w:gridCol w:w="3470"/>
        <w:gridCol w:w="2727"/>
      </w:tblGrid>
      <w:tr w:rsidR="00F77617" w:rsidRPr="00D974AB" w:rsidTr="00651DF6">
        <w:trPr>
          <w:trHeight w:val="295"/>
        </w:trPr>
        <w:tc>
          <w:tcPr>
            <w:tcW w:w="1883" w:type="dxa"/>
            <w:tcBorders>
              <w:top w:val="single" w:sz="4" w:space="0" w:color="auto"/>
              <w:bottom w:val="single" w:sz="4" w:space="0" w:color="auto"/>
            </w:tcBorders>
          </w:tcPr>
          <w:p w:rsidR="00F77617" w:rsidRPr="00D974AB" w:rsidRDefault="00F77617" w:rsidP="004E5971">
            <w:pPr>
              <w:jc w:val="both"/>
            </w:pPr>
            <w:r w:rsidRPr="00D974AB">
              <w:rPr>
                <w:b/>
                <w:bCs/>
              </w:rPr>
              <w:t>ΜΣΑΦ</w:t>
            </w:r>
          </w:p>
        </w:tc>
        <w:tc>
          <w:tcPr>
            <w:tcW w:w="3470" w:type="dxa"/>
            <w:tcBorders>
              <w:top w:val="single" w:sz="4" w:space="0" w:color="auto"/>
              <w:bottom w:val="single" w:sz="4" w:space="0" w:color="auto"/>
            </w:tcBorders>
          </w:tcPr>
          <w:p w:rsidR="00F77617" w:rsidRPr="00D974AB" w:rsidRDefault="00F77617" w:rsidP="004E5971">
            <w:pPr>
              <w:jc w:val="both"/>
              <w:rPr>
                <w:b/>
                <w:bCs/>
              </w:rPr>
            </w:pPr>
            <w:r w:rsidRPr="00D974AB">
              <w:rPr>
                <w:b/>
                <w:bCs/>
              </w:rPr>
              <w:t>Ημερήσια δόση</w:t>
            </w:r>
          </w:p>
          <w:p w:rsidR="00F77617" w:rsidRPr="00D974AB" w:rsidRDefault="00F77617" w:rsidP="004E5971">
            <w:pPr>
              <w:jc w:val="both"/>
            </w:pPr>
            <w:r w:rsidRPr="00D974AB">
              <w:rPr>
                <w:b/>
                <w:bCs/>
              </w:rPr>
              <w:t>(από του στόματος)</w:t>
            </w:r>
          </w:p>
        </w:tc>
        <w:tc>
          <w:tcPr>
            <w:tcW w:w="2727" w:type="dxa"/>
            <w:tcBorders>
              <w:top w:val="single" w:sz="4" w:space="0" w:color="auto"/>
              <w:bottom w:val="single" w:sz="4" w:space="0" w:color="auto"/>
            </w:tcBorders>
          </w:tcPr>
          <w:p w:rsidR="00F77617" w:rsidRPr="00D974AB" w:rsidRDefault="00F77617" w:rsidP="004E5971">
            <w:pPr>
              <w:jc w:val="both"/>
            </w:pPr>
            <w:r w:rsidRPr="00D974AB">
              <w:rPr>
                <w:b/>
                <w:bCs/>
              </w:rPr>
              <w:t>Μέγιστη Ημερήσια Δόση</w:t>
            </w:r>
          </w:p>
        </w:tc>
      </w:tr>
      <w:tr w:rsidR="00F77617" w:rsidRPr="00D974AB" w:rsidTr="00651DF6">
        <w:trPr>
          <w:trHeight w:val="441"/>
        </w:trPr>
        <w:tc>
          <w:tcPr>
            <w:tcW w:w="1883" w:type="dxa"/>
            <w:tcBorders>
              <w:top w:val="single" w:sz="4" w:space="0" w:color="auto"/>
            </w:tcBorders>
          </w:tcPr>
          <w:p w:rsidR="00F77617" w:rsidRPr="00D974AB" w:rsidRDefault="00F77617" w:rsidP="004E5971">
            <w:pPr>
              <w:jc w:val="both"/>
            </w:pPr>
            <w:r w:rsidRPr="00D974AB">
              <w:t>Diclofenac*</w:t>
            </w:r>
          </w:p>
        </w:tc>
        <w:tc>
          <w:tcPr>
            <w:tcW w:w="3470" w:type="dxa"/>
            <w:tcBorders>
              <w:top w:val="single" w:sz="4" w:space="0" w:color="auto"/>
            </w:tcBorders>
          </w:tcPr>
          <w:p w:rsidR="00F77617" w:rsidRPr="00D974AB" w:rsidRDefault="00F77617" w:rsidP="004E5971">
            <w:pPr>
              <w:jc w:val="both"/>
            </w:pPr>
            <w:r w:rsidRPr="00D974AB">
              <w:t xml:space="preserve">50-100 </w:t>
            </w:r>
            <w:r w:rsidRPr="00D974AB">
              <w:rPr>
                <w:lang w:bidi="en-US"/>
              </w:rPr>
              <w:t>mg</w:t>
            </w:r>
            <w:r w:rsidRPr="00D974AB">
              <w:t xml:space="preserve"> σε 2 δόσεις /Η</w:t>
            </w:r>
          </w:p>
        </w:tc>
        <w:tc>
          <w:tcPr>
            <w:tcW w:w="2727" w:type="dxa"/>
            <w:tcBorders>
              <w:top w:val="single" w:sz="4" w:space="0" w:color="auto"/>
            </w:tcBorders>
          </w:tcPr>
          <w:p w:rsidR="00F77617" w:rsidRPr="00D974AB" w:rsidRDefault="00F77617" w:rsidP="004E5971">
            <w:pPr>
              <w:jc w:val="both"/>
            </w:pPr>
            <w:r w:rsidRPr="00D974AB">
              <w:t>200 mg</w:t>
            </w:r>
          </w:p>
        </w:tc>
      </w:tr>
      <w:tr w:rsidR="00F77617" w:rsidRPr="00D974AB" w:rsidTr="00651DF6">
        <w:trPr>
          <w:trHeight w:val="292"/>
        </w:trPr>
        <w:tc>
          <w:tcPr>
            <w:tcW w:w="1883" w:type="dxa"/>
          </w:tcPr>
          <w:p w:rsidR="00F77617" w:rsidRPr="00D974AB" w:rsidRDefault="00F77617" w:rsidP="004E5971">
            <w:pPr>
              <w:jc w:val="both"/>
            </w:pPr>
            <w:r w:rsidRPr="00D974AB">
              <w:rPr>
                <w:lang w:bidi="en-US"/>
              </w:rPr>
              <w:t xml:space="preserve">Ibuprofen </w:t>
            </w:r>
            <w:r w:rsidRPr="00D974AB">
              <w:t>*</w:t>
            </w:r>
          </w:p>
        </w:tc>
        <w:tc>
          <w:tcPr>
            <w:tcW w:w="3470" w:type="dxa"/>
          </w:tcPr>
          <w:p w:rsidR="00F77617" w:rsidRPr="00D974AB" w:rsidRDefault="00F77617" w:rsidP="004E5971">
            <w:pPr>
              <w:jc w:val="both"/>
            </w:pPr>
            <w:r w:rsidRPr="00D974AB">
              <w:t xml:space="preserve">30-50 </w:t>
            </w:r>
            <w:r w:rsidRPr="00D974AB">
              <w:rPr>
                <w:lang w:bidi="en-US"/>
              </w:rPr>
              <w:t>mg</w:t>
            </w:r>
            <w:r w:rsidRPr="00D974AB">
              <w:t>/</w:t>
            </w:r>
            <w:r w:rsidRPr="00D974AB">
              <w:rPr>
                <w:lang w:bidi="en-US"/>
              </w:rPr>
              <w:t>kg</w:t>
            </w:r>
            <w:r w:rsidRPr="00D974AB">
              <w:t xml:space="preserve"> ,σε 3-4  δόσεις/Η</w:t>
            </w:r>
          </w:p>
        </w:tc>
        <w:tc>
          <w:tcPr>
            <w:tcW w:w="2727" w:type="dxa"/>
          </w:tcPr>
          <w:p w:rsidR="00F77617" w:rsidRPr="00D974AB" w:rsidRDefault="00F77617" w:rsidP="004E5971">
            <w:pPr>
              <w:jc w:val="both"/>
              <w:rPr>
                <w:lang w:bidi="en-US"/>
              </w:rPr>
            </w:pPr>
            <w:r w:rsidRPr="00D974AB">
              <w:rPr>
                <w:lang w:bidi="en-US"/>
              </w:rPr>
              <w:t>2400 mg</w:t>
            </w:r>
          </w:p>
        </w:tc>
      </w:tr>
      <w:tr w:rsidR="00F77617" w:rsidRPr="00D974AB" w:rsidTr="00651DF6">
        <w:trPr>
          <w:trHeight w:val="292"/>
        </w:trPr>
        <w:tc>
          <w:tcPr>
            <w:tcW w:w="1883" w:type="dxa"/>
          </w:tcPr>
          <w:p w:rsidR="00F77617" w:rsidRPr="00D974AB" w:rsidRDefault="00F77617" w:rsidP="004E5971">
            <w:pPr>
              <w:jc w:val="both"/>
              <w:rPr>
                <w:lang w:bidi="en-US"/>
              </w:rPr>
            </w:pPr>
            <w:r w:rsidRPr="00D974AB">
              <w:rPr>
                <w:lang w:bidi="en-US"/>
              </w:rPr>
              <w:t>Indomethacin</w:t>
            </w:r>
            <w:r w:rsidRPr="00D974AB">
              <w:t>*</w:t>
            </w:r>
          </w:p>
        </w:tc>
        <w:tc>
          <w:tcPr>
            <w:tcW w:w="3470" w:type="dxa"/>
          </w:tcPr>
          <w:p w:rsidR="00F77617" w:rsidRPr="00D974AB" w:rsidRDefault="00F77617" w:rsidP="004E5971">
            <w:pPr>
              <w:jc w:val="both"/>
            </w:pPr>
            <w:r w:rsidRPr="00D974AB">
              <w:t xml:space="preserve">1-2 </w:t>
            </w:r>
            <w:r w:rsidRPr="00D974AB">
              <w:rPr>
                <w:lang w:bidi="en-US"/>
              </w:rPr>
              <w:t>mg</w:t>
            </w:r>
            <w:r w:rsidRPr="00D974AB">
              <w:t>/</w:t>
            </w:r>
            <w:r w:rsidRPr="00D974AB">
              <w:rPr>
                <w:lang w:bidi="en-US"/>
              </w:rPr>
              <w:t>kg</w:t>
            </w:r>
            <w:r w:rsidRPr="00D974AB">
              <w:t xml:space="preserve"> σε 3 δόσεις/Η</w:t>
            </w:r>
          </w:p>
        </w:tc>
        <w:tc>
          <w:tcPr>
            <w:tcW w:w="2727" w:type="dxa"/>
          </w:tcPr>
          <w:p w:rsidR="00F77617" w:rsidRPr="00D974AB" w:rsidRDefault="00F77617" w:rsidP="004E5971">
            <w:pPr>
              <w:jc w:val="both"/>
            </w:pPr>
            <w:r w:rsidRPr="00D974AB">
              <w:rPr>
                <w:lang w:bidi="en-US"/>
              </w:rPr>
              <w:t xml:space="preserve">200 </w:t>
            </w:r>
            <w:r w:rsidRPr="00D974AB">
              <w:t>mg</w:t>
            </w:r>
          </w:p>
        </w:tc>
      </w:tr>
      <w:tr w:rsidR="00F77617" w:rsidRPr="00D974AB" w:rsidTr="00651DF6">
        <w:trPr>
          <w:trHeight w:val="192"/>
        </w:trPr>
        <w:tc>
          <w:tcPr>
            <w:tcW w:w="1883" w:type="dxa"/>
          </w:tcPr>
          <w:p w:rsidR="00F77617" w:rsidRPr="00D974AB" w:rsidRDefault="00F77617" w:rsidP="004E5971">
            <w:pPr>
              <w:jc w:val="both"/>
            </w:pPr>
            <w:r w:rsidRPr="00D974AB">
              <w:t>Naproxen*</w:t>
            </w:r>
          </w:p>
        </w:tc>
        <w:tc>
          <w:tcPr>
            <w:tcW w:w="3470" w:type="dxa"/>
          </w:tcPr>
          <w:p w:rsidR="00F77617" w:rsidRPr="00D974AB" w:rsidRDefault="00F77617" w:rsidP="004E5971">
            <w:pPr>
              <w:jc w:val="both"/>
            </w:pPr>
            <w:r w:rsidRPr="00D974AB">
              <w:t>10-20</w:t>
            </w:r>
            <w:r w:rsidRPr="00D974AB">
              <w:rPr>
                <w:lang w:bidi="en-US"/>
              </w:rPr>
              <w:t>mg</w:t>
            </w:r>
            <w:r w:rsidRPr="00D974AB">
              <w:t>/</w:t>
            </w:r>
            <w:r w:rsidRPr="00D974AB">
              <w:rPr>
                <w:lang w:bidi="en-US"/>
              </w:rPr>
              <w:t>kg</w:t>
            </w:r>
            <w:r w:rsidRPr="00D974AB">
              <w:t>,σε 2 δόσεις /Η</w:t>
            </w:r>
          </w:p>
        </w:tc>
        <w:tc>
          <w:tcPr>
            <w:tcW w:w="2727" w:type="dxa"/>
          </w:tcPr>
          <w:p w:rsidR="00F77617" w:rsidRPr="00D974AB" w:rsidRDefault="00F77617" w:rsidP="004E5971">
            <w:pPr>
              <w:jc w:val="both"/>
              <w:rPr>
                <w:lang w:bidi="en-US"/>
              </w:rPr>
            </w:pPr>
            <w:r w:rsidRPr="00D974AB">
              <w:rPr>
                <w:lang w:bidi="en-US"/>
              </w:rPr>
              <w:t>1000 mg</w:t>
            </w:r>
          </w:p>
        </w:tc>
      </w:tr>
      <w:tr w:rsidR="00F77617" w:rsidRPr="00D974AB" w:rsidTr="00651DF6">
        <w:trPr>
          <w:trHeight w:val="192"/>
        </w:trPr>
        <w:tc>
          <w:tcPr>
            <w:tcW w:w="1883" w:type="dxa"/>
          </w:tcPr>
          <w:p w:rsidR="00F77617" w:rsidRPr="00D974AB" w:rsidRDefault="00F77617" w:rsidP="004E5971">
            <w:pPr>
              <w:jc w:val="both"/>
              <w:rPr>
                <w:lang w:bidi="en-US"/>
              </w:rPr>
            </w:pPr>
            <w:r w:rsidRPr="00D974AB">
              <w:t>Celecoxib</w:t>
            </w:r>
            <w:r w:rsidRPr="00D974AB">
              <w:rPr>
                <w:lang w:bidi="en-US"/>
              </w:rPr>
              <w:t>**</w:t>
            </w:r>
          </w:p>
        </w:tc>
        <w:tc>
          <w:tcPr>
            <w:tcW w:w="3470" w:type="dxa"/>
          </w:tcPr>
          <w:p w:rsidR="00F77617" w:rsidRPr="00D974AB" w:rsidRDefault="00F77617" w:rsidP="004E5971">
            <w:pPr>
              <w:jc w:val="both"/>
            </w:pPr>
            <w:r w:rsidRPr="00D974AB">
              <w:t xml:space="preserve">10-25 </w:t>
            </w:r>
            <w:r w:rsidRPr="00D974AB">
              <w:rPr>
                <w:lang w:bidi="en-US"/>
              </w:rPr>
              <w:t>kg</w:t>
            </w:r>
            <w:r w:rsidRPr="00D974AB">
              <w:t xml:space="preserve">: 50 </w:t>
            </w:r>
            <w:r w:rsidRPr="00D974AB">
              <w:rPr>
                <w:lang w:bidi="en-US"/>
              </w:rPr>
              <w:t>mg</w:t>
            </w:r>
            <w:r w:rsidRPr="00D974AB">
              <w:t xml:space="preserve"> σε 2 δόσεις /Η</w:t>
            </w:r>
          </w:p>
          <w:p w:rsidR="00F77617" w:rsidRPr="00D974AB" w:rsidRDefault="00F77617" w:rsidP="004E5971">
            <w:pPr>
              <w:jc w:val="both"/>
            </w:pPr>
            <w:r w:rsidRPr="00D974AB">
              <w:t xml:space="preserve">&gt; 25 </w:t>
            </w:r>
            <w:r w:rsidRPr="00D974AB">
              <w:rPr>
                <w:lang w:bidi="en-US"/>
              </w:rPr>
              <w:t>kg</w:t>
            </w:r>
            <w:r w:rsidRPr="00D974AB">
              <w:t xml:space="preserve">: 100 </w:t>
            </w:r>
            <w:r w:rsidRPr="00D974AB">
              <w:rPr>
                <w:lang w:bidi="en-US"/>
              </w:rPr>
              <w:t>mg</w:t>
            </w:r>
            <w:r w:rsidRPr="00D974AB">
              <w:t>σε 2 δόσεις/Η</w:t>
            </w:r>
          </w:p>
        </w:tc>
        <w:tc>
          <w:tcPr>
            <w:tcW w:w="2727" w:type="dxa"/>
          </w:tcPr>
          <w:p w:rsidR="00F77617" w:rsidRPr="00D974AB" w:rsidRDefault="00F77617" w:rsidP="004E5971">
            <w:pPr>
              <w:jc w:val="both"/>
            </w:pPr>
            <w:r w:rsidRPr="00D974AB">
              <w:t>100 mg</w:t>
            </w:r>
          </w:p>
          <w:p w:rsidR="00F77617" w:rsidRPr="00D974AB" w:rsidRDefault="00F77617" w:rsidP="004E5971">
            <w:pPr>
              <w:jc w:val="both"/>
            </w:pPr>
            <w:r w:rsidRPr="00D974AB">
              <w:t>200 mg</w:t>
            </w:r>
          </w:p>
        </w:tc>
      </w:tr>
      <w:tr w:rsidR="00F77617" w:rsidRPr="00D974AB" w:rsidTr="00651DF6">
        <w:trPr>
          <w:trHeight w:val="192"/>
        </w:trPr>
        <w:tc>
          <w:tcPr>
            <w:tcW w:w="1883" w:type="dxa"/>
          </w:tcPr>
          <w:p w:rsidR="00F77617" w:rsidRPr="00D974AB" w:rsidRDefault="00F77617" w:rsidP="004E5971">
            <w:pPr>
              <w:jc w:val="both"/>
              <w:rPr>
                <w:lang w:bidi="en-US"/>
              </w:rPr>
            </w:pPr>
            <w:r w:rsidRPr="00D974AB">
              <w:t>Meloxicam</w:t>
            </w:r>
            <w:r w:rsidRPr="00D974AB">
              <w:rPr>
                <w:lang w:bidi="en-US"/>
              </w:rPr>
              <w:t>**</w:t>
            </w:r>
          </w:p>
        </w:tc>
        <w:tc>
          <w:tcPr>
            <w:tcW w:w="3470" w:type="dxa"/>
          </w:tcPr>
          <w:p w:rsidR="00F77617" w:rsidRPr="00D974AB" w:rsidRDefault="00F77617" w:rsidP="004E5971">
            <w:pPr>
              <w:jc w:val="both"/>
            </w:pPr>
            <w:r w:rsidRPr="00D974AB">
              <w:t>0.125–0.25 mg/kg/ ΣΕ 1 δόση/Η</w:t>
            </w:r>
          </w:p>
        </w:tc>
        <w:tc>
          <w:tcPr>
            <w:tcW w:w="2727" w:type="dxa"/>
          </w:tcPr>
          <w:p w:rsidR="00F77617" w:rsidRPr="00D974AB" w:rsidRDefault="00F77617" w:rsidP="004E5971">
            <w:pPr>
              <w:jc w:val="both"/>
            </w:pPr>
            <w:r w:rsidRPr="00D974AB">
              <w:t>15 mg</w:t>
            </w:r>
          </w:p>
        </w:tc>
      </w:tr>
    </w:tbl>
    <w:p w:rsidR="00F77617" w:rsidRPr="00D974AB" w:rsidRDefault="00F77617" w:rsidP="00F77617">
      <w:pPr>
        <w:jc w:val="both"/>
        <w:rPr>
          <w:lang w:bidi="en-US"/>
        </w:rPr>
      </w:pPr>
    </w:p>
    <w:p w:rsidR="00F77617" w:rsidRPr="00D974AB" w:rsidRDefault="00F77617" w:rsidP="00F77617">
      <w:pPr>
        <w:jc w:val="both"/>
        <w:rPr>
          <w:lang w:bidi="en-US"/>
        </w:rPr>
      </w:pPr>
      <w:r w:rsidRPr="00D974AB">
        <w:t xml:space="preserve">*Τα συχνότερα χρησιμοποιούμενα ΜΣΑΦ. </w:t>
      </w:r>
    </w:p>
    <w:p w:rsidR="00F77617" w:rsidRPr="00FE4172" w:rsidRDefault="00F77617" w:rsidP="00F77617">
      <w:pPr>
        <w:jc w:val="both"/>
        <w:rPr>
          <w:color w:val="FF0000"/>
        </w:rPr>
      </w:pPr>
      <w:r w:rsidRPr="00D974AB">
        <w:t xml:space="preserve">**Οι </w:t>
      </w:r>
      <w:r w:rsidRPr="00D974AB">
        <w:rPr>
          <w:lang w:bidi="en-US"/>
        </w:rPr>
        <w:t>COX</w:t>
      </w:r>
      <w:r w:rsidRPr="00D974AB">
        <w:t xml:space="preserve">-2 αναστολείς  δεν χρησιμοποιούνται σε παιδιά, παρά μόνο σε περιπτώσεις σοβαρών γαστρεντερικών ενοχλημάτων στα άλλα ΜΣΑΦ  και  φλεγμονώδους  νόσου του εντέρου </w:t>
      </w:r>
    </w:p>
    <w:p w:rsidR="00F77617" w:rsidRDefault="00F77617">
      <w:pPr>
        <w:rPr>
          <w:b/>
        </w:rPr>
      </w:pPr>
      <w:r>
        <w:rPr>
          <w:b/>
        </w:rPr>
        <w:br w:type="page"/>
      </w:r>
    </w:p>
    <w:p w:rsidR="00F77617" w:rsidRDefault="00F77617" w:rsidP="00F77617">
      <w:pPr>
        <w:jc w:val="both"/>
        <w:rPr>
          <w:b/>
          <w:i/>
        </w:rPr>
      </w:pPr>
      <w:r w:rsidRPr="00D974AB">
        <w:rPr>
          <w:b/>
          <w:i/>
        </w:rPr>
        <w:t xml:space="preserve">Πίνακας 8. Κορτικοστεροειδή </w:t>
      </w:r>
    </w:p>
    <w:p w:rsidR="00885171" w:rsidRPr="00D974AB" w:rsidRDefault="00885171" w:rsidP="00F77617">
      <w:pPr>
        <w:jc w:val="both"/>
        <w:rPr>
          <w:b/>
          <w:i/>
        </w:rPr>
      </w:pP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4361"/>
        <w:gridCol w:w="1984"/>
        <w:gridCol w:w="3402"/>
      </w:tblGrid>
      <w:tr w:rsidR="00F77617" w:rsidRPr="00D974AB" w:rsidTr="00885171">
        <w:tc>
          <w:tcPr>
            <w:tcW w:w="4361" w:type="dxa"/>
            <w:tcBorders>
              <w:top w:val="single" w:sz="4" w:space="0" w:color="auto"/>
              <w:bottom w:val="single" w:sz="4" w:space="0" w:color="auto"/>
            </w:tcBorders>
          </w:tcPr>
          <w:p w:rsidR="00F77617" w:rsidRPr="00D974AB" w:rsidRDefault="00F77617" w:rsidP="004E5971">
            <w:pPr>
              <w:jc w:val="both"/>
              <w:rPr>
                <w:b/>
                <w:bCs/>
                <w:u w:val="single"/>
                <w:lang w:bidi="en-US"/>
              </w:rPr>
            </w:pPr>
            <w:r w:rsidRPr="00D974AB">
              <w:rPr>
                <w:b/>
                <w:bCs/>
                <w:lang w:bidi="en-US"/>
              </w:rPr>
              <w:t>Κορτικοστεροειδή</w:t>
            </w:r>
          </w:p>
        </w:tc>
        <w:tc>
          <w:tcPr>
            <w:tcW w:w="1984"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 xml:space="preserve">Ημερήσια  δόση </w:t>
            </w:r>
          </w:p>
        </w:tc>
        <w:tc>
          <w:tcPr>
            <w:tcW w:w="3402"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Μέγιστη Ημερήσια Δόση</w:t>
            </w:r>
          </w:p>
        </w:tc>
      </w:tr>
      <w:tr w:rsidR="00F77617" w:rsidRPr="00D974AB" w:rsidTr="00885171">
        <w:tc>
          <w:tcPr>
            <w:tcW w:w="4361" w:type="dxa"/>
            <w:tcBorders>
              <w:top w:val="single" w:sz="4" w:space="0" w:color="auto"/>
            </w:tcBorders>
          </w:tcPr>
          <w:p w:rsidR="00F77617" w:rsidRPr="00617877" w:rsidRDefault="00F77617" w:rsidP="004E5971">
            <w:pPr>
              <w:jc w:val="both"/>
              <w:rPr>
                <w:bCs/>
                <w:lang w:bidi="en-US"/>
              </w:rPr>
            </w:pPr>
            <w:r w:rsidRPr="00617877">
              <w:rPr>
                <w:bCs/>
                <w:lang w:bidi="en-US"/>
              </w:rPr>
              <w:t>Ενδοαρθρικές εγχύσεις</w:t>
            </w:r>
          </w:p>
          <w:p w:rsidR="00F77617" w:rsidRPr="00617877" w:rsidRDefault="00F77617" w:rsidP="004E5971">
            <w:pPr>
              <w:jc w:val="both"/>
              <w:rPr>
                <w:bCs/>
                <w:lang w:bidi="en-US"/>
              </w:rPr>
            </w:pPr>
            <w:r w:rsidRPr="00617877">
              <w:rPr>
                <w:bCs/>
                <w:lang w:bidi="en-US"/>
              </w:rPr>
              <w:t xml:space="preserve"> κορτικοστεροειδών* </w:t>
            </w:r>
          </w:p>
        </w:tc>
        <w:tc>
          <w:tcPr>
            <w:tcW w:w="1984" w:type="dxa"/>
            <w:tcBorders>
              <w:top w:val="single" w:sz="4" w:space="0" w:color="auto"/>
            </w:tcBorders>
          </w:tcPr>
          <w:p w:rsidR="00F77617" w:rsidRPr="00D974AB" w:rsidRDefault="00F77617" w:rsidP="004E5971">
            <w:pPr>
              <w:jc w:val="both"/>
              <w:rPr>
                <w:b/>
                <w:bCs/>
                <w:lang w:bidi="en-US"/>
              </w:rPr>
            </w:pPr>
          </w:p>
        </w:tc>
        <w:tc>
          <w:tcPr>
            <w:tcW w:w="3402" w:type="dxa"/>
            <w:tcBorders>
              <w:top w:val="single" w:sz="4" w:space="0" w:color="auto"/>
            </w:tcBorders>
          </w:tcPr>
          <w:p w:rsidR="00F77617" w:rsidRPr="00617877" w:rsidRDefault="00F77617" w:rsidP="004E5971">
            <w:pPr>
              <w:jc w:val="both"/>
              <w:rPr>
                <w:bCs/>
                <w:u w:val="single"/>
                <w:lang w:bidi="en-US"/>
              </w:rPr>
            </w:pPr>
            <w:r w:rsidRPr="00617877">
              <w:rPr>
                <w:bCs/>
                <w:lang w:bidi="en-US"/>
              </w:rPr>
              <w:t>Βλέπε πίνακα 8α</w:t>
            </w:r>
          </w:p>
        </w:tc>
      </w:tr>
      <w:tr w:rsidR="00F77617" w:rsidRPr="00D974AB" w:rsidTr="00885171">
        <w:tc>
          <w:tcPr>
            <w:tcW w:w="4361" w:type="dxa"/>
          </w:tcPr>
          <w:p w:rsidR="00F77617" w:rsidRPr="00617877" w:rsidRDefault="00F77617" w:rsidP="004E5971">
            <w:pPr>
              <w:jc w:val="both"/>
              <w:rPr>
                <w:bCs/>
                <w:lang w:bidi="en-US"/>
              </w:rPr>
            </w:pPr>
            <w:r w:rsidRPr="00617877">
              <w:rPr>
                <w:bCs/>
                <w:lang w:bidi="en-US"/>
              </w:rPr>
              <w:t>Μεθυλπρεδνιζολόνη**</w:t>
            </w:r>
          </w:p>
          <w:p w:rsidR="00F77617" w:rsidRPr="00617877" w:rsidRDefault="00F77617" w:rsidP="004E5971">
            <w:pPr>
              <w:jc w:val="both"/>
              <w:rPr>
                <w:bCs/>
                <w:lang w:bidi="en-US"/>
              </w:rPr>
            </w:pPr>
            <w:r w:rsidRPr="00617877">
              <w:rPr>
                <w:bCs/>
                <w:lang w:bidi="en-US"/>
              </w:rPr>
              <w:t>(ενδοφλέβιες ώσεις)</w:t>
            </w:r>
          </w:p>
        </w:tc>
        <w:tc>
          <w:tcPr>
            <w:tcW w:w="1984" w:type="dxa"/>
          </w:tcPr>
          <w:p w:rsidR="00F77617" w:rsidRPr="00617877" w:rsidRDefault="00F77617" w:rsidP="004E5971">
            <w:pPr>
              <w:jc w:val="both"/>
              <w:rPr>
                <w:bCs/>
                <w:lang w:bidi="en-US"/>
              </w:rPr>
            </w:pPr>
            <w:r w:rsidRPr="00617877">
              <w:rPr>
                <w:bCs/>
                <w:lang w:bidi="en-US"/>
              </w:rPr>
              <w:t>30mg/kg/Η</w:t>
            </w:r>
          </w:p>
        </w:tc>
        <w:tc>
          <w:tcPr>
            <w:tcW w:w="3402" w:type="dxa"/>
          </w:tcPr>
          <w:p w:rsidR="00F77617" w:rsidRPr="00617877" w:rsidRDefault="00F77617" w:rsidP="004E5971">
            <w:pPr>
              <w:jc w:val="both"/>
              <w:rPr>
                <w:bCs/>
                <w:lang w:bidi="en-US"/>
              </w:rPr>
            </w:pPr>
            <w:r w:rsidRPr="00617877">
              <w:rPr>
                <w:bCs/>
                <w:lang w:bidi="en-US"/>
              </w:rPr>
              <w:t xml:space="preserve">1g/H </w:t>
            </w:r>
          </w:p>
        </w:tc>
      </w:tr>
      <w:tr w:rsidR="00F77617" w:rsidRPr="00D974AB" w:rsidTr="00885171">
        <w:tc>
          <w:tcPr>
            <w:tcW w:w="4361" w:type="dxa"/>
          </w:tcPr>
          <w:p w:rsidR="00F77617" w:rsidRPr="00617877" w:rsidRDefault="00F77617" w:rsidP="004E5971">
            <w:pPr>
              <w:jc w:val="both"/>
              <w:rPr>
                <w:bCs/>
                <w:lang w:bidi="en-US"/>
              </w:rPr>
            </w:pPr>
            <w:r w:rsidRPr="00617877">
              <w:rPr>
                <w:bCs/>
                <w:lang w:bidi="en-US"/>
              </w:rPr>
              <w:t>Πρεδνιζολόνη***</w:t>
            </w:r>
          </w:p>
          <w:p w:rsidR="00F77617" w:rsidRPr="00617877" w:rsidRDefault="00F77617" w:rsidP="004E5971">
            <w:pPr>
              <w:jc w:val="both"/>
              <w:rPr>
                <w:bCs/>
                <w:u w:val="single"/>
                <w:lang w:bidi="en-US"/>
              </w:rPr>
            </w:pPr>
            <w:r w:rsidRPr="00617877">
              <w:rPr>
                <w:bCs/>
                <w:lang w:bidi="en-US"/>
              </w:rPr>
              <w:t>από του στόματος</w:t>
            </w:r>
          </w:p>
        </w:tc>
        <w:tc>
          <w:tcPr>
            <w:tcW w:w="1984" w:type="dxa"/>
          </w:tcPr>
          <w:p w:rsidR="00F77617" w:rsidRPr="00617877" w:rsidRDefault="00F77617" w:rsidP="004E5971">
            <w:pPr>
              <w:jc w:val="both"/>
              <w:rPr>
                <w:bCs/>
                <w:u w:val="single"/>
                <w:lang w:bidi="en-US"/>
              </w:rPr>
            </w:pPr>
            <w:r w:rsidRPr="00617877">
              <w:rPr>
                <w:bCs/>
                <w:lang w:bidi="en-US"/>
              </w:rPr>
              <w:t>0.5-2mg/kg/Η</w:t>
            </w:r>
          </w:p>
        </w:tc>
        <w:tc>
          <w:tcPr>
            <w:tcW w:w="3402" w:type="dxa"/>
          </w:tcPr>
          <w:p w:rsidR="00F77617" w:rsidRPr="00617877" w:rsidRDefault="00F77617" w:rsidP="004E5971">
            <w:pPr>
              <w:jc w:val="both"/>
              <w:rPr>
                <w:bCs/>
                <w:u w:val="single"/>
                <w:lang w:bidi="en-US"/>
              </w:rPr>
            </w:pPr>
            <w:r w:rsidRPr="00617877">
              <w:rPr>
                <w:bCs/>
                <w:lang w:bidi="en-US"/>
              </w:rPr>
              <w:t xml:space="preserve"> 40-60 mg/Η </w:t>
            </w:r>
          </w:p>
        </w:tc>
      </w:tr>
    </w:tbl>
    <w:p w:rsidR="00F77617" w:rsidRPr="00D974AB" w:rsidRDefault="00F77617" w:rsidP="00F77617">
      <w:pPr>
        <w:jc w:val="both"/>
        <w:rPr>
          <w:lang w:bidi="en-US"/>
        </w:rPr>
      </w:pPr>
    </w:p>
    <w:p w:rsidR="00F77617" w:rsidRPr="00D974AB" w:rsidRDefault="00F77617" w:rsidP="00F77617">
      <w:pPr>
        <w:jc w:val="both"/>
      </w:pPr>
      <w:r w:rsidRPr="00D974AB">
        <w:t>*Η εξακετονική τριαμσινολόνη (</w:t>
      </w:r>
      <w:r w:rsidRPr="00D974AB">
        <w:rPr>
          <w:lang w:bidi="en-US"/>
        </w:rPr>
        <w:t>triamcinolone</w:t>
      </w:r>
      <w:r w:rsidRPr="00D974AB">
        <w:t xml:space="preserve"> </w:t>
      </w:r>
      <w:r w:rsidRPr="00D974AB">
        <w:rPr>
          <w:lang w:bidi="en-US"/>
        </w:rPr>
        <w:t>hexacetonide</w:t>
      </w:r>
      <w:r w:rsidRPr="00D974AB">
        <w:t>) θεωρείται ότι υπερέχει θεραπευτικά από την ακετονική (</w:t>
      </w:r>
      <w:r w:rsidRPr="00D974AB">
        <w:rPr>
          <w:lang w:bidi="en-US"/>
        </w:rPr>
        <w:t>triamcinolone</w:t>
      </w:r>
      <w:r w:rsidRPr="00D974AB">
        <w:t xml:space="preserve"> </w:t>
      </w:r>
      <w:r w:rsidRPr="00D974AB">
        <w:rPr>
          <w:lang w:bidi="en-US"/>
        </w:rPr>
        <w:t>acetonide</w:t>
      </w:r>
      <w:r w:rsidRPr="00D974AB">
        <w:t>). Η  διεθνής εμπειρία υποστηρίζει την 24ωρη ανάπαυση μετά την ενδοαρθρική θεραπεία επειδή βελτιώνει την αποτελεσματικότητά της.</w:t>
      </w:r>
    </w:p>
    <w:p w:rsidR="00F77617" w:rsidRPr="00D974AB" w:rsidRDefault="00F77617" w:rsidP="00F77617">
      <w:pPr>
        <w:jc w:val="both"/>
      </w:pPr>
      <w:r w:rsidRPr="00D974AB">
        <w:t>**Για 3 διαδοχικές ημέρες και επανεκτίμηση σε 1-2 εβδομάδες.</w:t>
      </w:r>
    </w:p>
    <w:p w:rsidR="00F77617" w:rsidRPr="00D974AB" w:rsidRDefault="00F77617" w:rsidP="00F77617">
      <w:pPr>
        <w:jc w:val="both"/>
      </w:pPr>
      <w:r w:rsidRPr="00D974AB">
        <w:t xml:space="preserve">*** Στα παιδιά συνήθως η επιθυμητή μέγιστη </w:t>
      </w:r>
      <w:r>
        <w:t xml:space="preserve">ημερήσια </w:t>
      </w:r>
      <w:r w:rsidRPr="00D974AB">
        <w:t>δόση είναι τα 40</w:t>
      </w:r>
      <w:r w:rsidRPr="00D974AB">
        <w:rPr>
          <w:lang w:bidi="en-US"/>
        </w:rPr>
        <w:t>mg</w:t>
      </w:r>
      <w:r w:rsidRPr="00D974AB">
        <w:t>/</w:t>
      </w:r>
      <w:r w:rsidRPr="00D974AB">
        <w:rPr>
          <w:lang w:bidi="en-US"/>
        </w:rPr>
        <w:t>H</w:t>
      </w:r>
      <w:r w:rsidRPr="00D974AB">
        <w:t xml:space="preserve"> εφάπαξ το πρωί, (αποφυγή πλήρους καταστολής της ενδογενούς έκκρισης κορτιζόλης)</w:t>
      </w:r>
    </w:p>
    <w:p w:rsidR="00F77617" w:rsidRPr="00D974AB" w:rsidRDefault="00F77617" w:rsidP="00F77617">
      <w:pPr>
        <w:jc w:val="both"/>
      </w:pPr>
    </w:p>
    <w:p w:rsidR="00F77617" w:rsidRPr="00D974AB" w:rsidRDefault="00F77617" w:rsidP="00F77617">
      <w:pPr>
        <w:jc w:val="both"/>
      </w:pPr>
    </w:p>
    <w:p w:rsidR="00F77617" w:rsidRPr="00D974AB" w:rsidRDefault="00F77617" w:rsidP="00F77617">
      <w:pPr>
        <w:jc w:val="both"/>
        <w:rPr>
          <w:b/>
          <w:bCs/>
        </w:rPr>
      </w:pPr>
    </w:p>
    <w:p w:rsidR="00AE7BF5" w:rsidRDefault="00AE7BF5">
      <w:pPr>
        <w:rPr>
          <w:b/>
          <w:bCs/>
        </w:rPr>
      </w:pPr>
      <w:r>
        <w:rPr>
          <w:b/>
          <w:bCs/>
        </w:rPr>
        <w:br w:type="page"/>
      </w:r>
    </w:p>
    <w:p w:rsidR="00F77617" w:rsidRPr="00FD5DE0" w:rsidRDefault="00F77617" w:rsidP="00F77617">
      <w:pPr>
        <w:jc w:val="both"/>
        <w:rPr>
          <w:i/>
          <w:color w:val="FF0000"/>
          <w:vertAlign w:val="superscript"/>
        </w:rPr>
      </w:pPr>
      <w:r w:rsidRPr="00D974AB">
        <w:rPr>
          <w:b/>
          <w:bCs/>
        </w:rPr>
        <w:t xml:space="preserve">Πίνακας </w:t>
      </w:r>
      <w:r w:rsidR="000A2E25">
        <w:rPr>
          <w:b/>
          <w:bCs/>
        </w:rPr>
        <w:t>9</w:t>
      </w:r>
      <w:r w:rsidRPr="00D974AB">
        <w:rPr>
          <w:b/>
          <w:bCs/>
        </w:rPr>
        <w:t xml:space="preserve">. </w:t>
      </w:r>
      <w:r w:rsidRPr="00D974AB">
        <w:rPr>
          <w:b/>
          <w:i/>
        </w:rPr>
        <w:t xml:space="preserve">Προτεινόμενο είδος και δόση κορτικοστεροειδούς για τις ενδαρθρικές εγχύσεις, αναφορικά με την τοπογραφία της προσβολής </w:t>
      </w:r>
    </w:p>
    <w:p w:rsidR="00F77617" w:rsidRPr="00D974AB" w:rsidRDefault="00F77617" w:rsidP="00F77617">
      <w:pPr>
        <w:jc w:val="both"/>
        <w:rPr>
          <w:bCs/>
        </w:rPr>
      </w:pPr>
    </w:p>
    <w:p w:rsidR="00F77617" w:rsidRPr="00D974AB" w:rsidRDefault="00F77617" w:rsidP="00F77617">
      <w:pPr>
        <w:jc w:val="both"/>
        <w:rPr>
          <w:bCs/>
        </w:rPr>
      </w:pPr>
    </w:p>
    <w:tbl>
      <w:tblPr>
        <w:tblW w:w="9498" w:type="dxa"/>
        <w:tblInd w:w="-176" w:type="dxa"/>
        <w:tblBorders>
          <w:top w:val="single" w:sz="4" w:space="0" w:color="auto"/>
          <w:bottom w:val="single" w:sz="4" w:space="0" w:color="auto"/>
        </w:tblBorders>
        <w:tblLook w:val="04A0" w:firstRow="1" w:lastRow="0" w:firstColumn="1" w:lastColumn="0" w:noHBand="0" w:noVBand="1"/>
      </w:tblPr>
      <w:tblGrid>
        <w:gridCol w:w="3499"/>
        <w:gridCol w:w="2739"/>
        <w:gridCol w:w="3260"/>
      </w:tblGrid>
      <w:tr w:rsidR="00F77617" w:rsidRPr="00D974AB" w:rsidTr="003519F1">
        <w:trPr>
          <w:trHeight w:val="558"/>
        </w:trPr>
        <w:tc>
          <w:tcPr>
            <w:tcW w:w="3499"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Τοπογραφία άρθρωσης</w:t>
            </w:r>
          </w:p>
          <w:p w:rsidR="00F77617" w:rsidRPr="00D974AB" w:rsidRDefault="00F77617" w:rsidP="004E5971">
            <w:pPr>
              <w:jc w:val="both"/>
              <w:rPr>
                <w:b/>
                <w:bCs/>
                <w:lang w:bidi="en-US"/>
              </w:rPr>
            </w:pPr>
            <w:r w:rsidRPr="00D974AB">
              <w:rPr>
                <w:b/>
                <w:bCs/>
                <w:lang w:bidi="en-US"/>
              </w:rPr>
              <w:t>ή είδος περιαρθρικού μορίου</w:t>
            </w:r>
          </w:p>
        </w:tc>
        <w:tc>
          <w:tcPr>
            <w:tcW w:w="2739"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Είδος κορτικο-</w:t>
            </w:r>
          </w:p>
          <w:p w:rsidR="00F77617" w:rsidRPr="00D974AB" w:rsidRDefault="00F77617" w:rsidP="004E5971">
            <w:pPr>
              <w:jc w:val="both"/>
              <w:rPr>
                <w:b/>
                <w:bCs/>
                <w:lang w:bidi="en-US"/>
              </w:rPr>
            </w:pPr>
            <w:r w:rsidRPr="00D974AB">
              <w:rPr>
                <w:b/>
                <w:bCs/>
                <w:lang w:bidi="en-US"/>
              </w:rPr>
              <w:t>στεροειδούς</w:t>
            </w:r>
          </w:p>
        </w:tc>
        <w:tc>
          <w:tcPr>
            <w:tcW w:w="3260"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Δόση</w:t>
            </w:r>
          </w:p>
        </w:tc>
      </w:tr>
      <w:tr w:rsidR="00F77617" w:rsidRPr="00FD5DE0" w:rsidTr="003519F1">
        <w:trPr>
          <w:trHeight w:val="287"/>
        </w:trPr>
        <w:tc>
          <w:tcPr>
            <w:tcW w:w="3499" w:type="dxa"/>
            <w:tcBorders>
              <w:top w:val="single" w:sz="4" w:space="0" w:color="auto"/>
            </w:tcBorders>
          </w:tcPr>
          <w:p w:rsidR="00F77617" w:rsidRPr="00FD5DE0" w:rsidRDefault="00F77617" w:rsidP="004E5971">
            <w:pPr>
              <w:jc w:val="both"/>
              <w:rPr>
                <w:bCs/>
                <w:lang w:bidi="en-US"/>
              </w:rPr>
            </w:pPr>
            <w:r w:rsidRPr="00FD5DE0">
              <w:rPr>
                <w:bCs/>
                <w:lang w:bidi="en-US"/>
              </w:rPr>
              <w:t>Ώμος</w:t>
            </w:r>
          </w:p>
        </w:tc>
        <w:tc>
          <w:tcPr>
            <w:tcW w:w="2739" w:type="dxa"/>
            <w:tcBorders>
              <w:top w:val="single" w:sz="4" w:space="0" w:color="auto"/>
            </w:tcBorders>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Borders>
              <w:top w:val="single" w:sz="4" w:space="0" w:color="auto"/>
            </w:tcBorders>
          </w:tcPr>
          <w:p w:rsidR="00F77617" w:rsidRPr="00FD5DE0" w:rsidRDefault="00F77617" w:rsidP="004E5971">
            <w:pPr>
              <w:jc w:val="both"/>
              <w:rPr>
                <w:bCs/>
                <w:lang w:bidi="en-US"/>
              </w:rPr>
            </w:pPr>
            <w:r w:rsidRPr="00FD5DE0">
              <w:rPr>
                <w:bCs/>
                <w:lang w:bidi="en-US"/>
              </w:rPr>
              <w:t xml:space="preserve"> 1mg/kg</w:t>
            </w:r>
          </w:p>
          <w:p w:rsidR="00F77617" w:rsidRPr="00FD5DE0" w:rsidRDefault="00F77617" w:rsidP="004E5971">
            <w:pPr>
              <w:jc w:val="both"/>
              <w:rPr>
                <w:bCs/>
                <w:lang w:bidi="en-US"/>
              </w:rPr>
            </w:pPr>
            <w:r w:rsidRPr="00FD5DE0">
              <w:rPr>
                <w:bCs/>
                <w:lang w:bidi="en-US"/>
              </w:rPr>
              <w:t xml:space="preserve"> (μέγιστη δόση 40mg)</w:t>
            </w:r>
          </w:p>
        </w:tc>
      </w:tr>
      <w:tr w:rsidR="00F77617" w:rsidRPr="00FD5DE0" w:rsidTr="003519F1">
        <w:trPr>
          <w:trHeight w:val="270"/>
        </w:trPr>
        <w:tc>
          <w:tcPr>
            <w:tcW w:w="3499" w:type="dxa"/>
          </w:tcPr>
          <w:p w:rsidR="00F77617" w:rsidRPr="00FD5DE0" w:rsidRDefault="00F77617" w:rsidP="004E5971">
            <w:pPr>
              <w:jc w:val="both"/>
              <w:rPr>
                <w:bCs/>
                <w:lang w:bidi="en-US"/>
              </w:rPr>
            </w:pPr>
            <w:r w:rsidRPr="00FD5DE0">
              <w:rPr>
                <w:bCs/>
                <w:lang w:bidi="en-US"/>
              </w:rPr>
              <w:t>Αγκώνας</w:t>
            </w:r>
          </w:p>
        </w:tc>
        <w:tc>
          <w:tcPr>
            <w:tcW w:w="2739" w:type="dxa"/>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Pr>
          <w:p w:rsidR="00F77617" w:rsidRPr="00FD5DE0" w:rsidRDefault="00F77617" w:rsidP="004E5971">
            <w:pPr>
              <w:jc w:val="both"/>
              <w:rPr>
                <w:bCs/>
                <w:lang w:bidi="en-US"/>
              </w:rPr>
            </w:pPr>
            <w:r w:rsidRPr="00FD5DE0">
              <w:rPr>
                <w:bCs/>
                <w:lang w:bidi="en-US"/>
              </w:rPr>
              <w:t xml:space="preserve">0.75mg/kg </w:t>
            </w:r>
          </w:p>
          <w:p w:rsidR="00F77617" w:rsidRPr="00FD5DE0" w:rsidRDefault="00F77617" w:rsidP="004E5971">
            <w:pPr>
              <w:jc w:val="both"/>
              <w:rPr>
                <w:bCs/>
                <w:lang w:bidi="en-US"/>
              </w:rPr>
            </w:pPr>
            <w:r w:rsidRPr="00FD5DE0">
              <w:rPr>
                <w:bCs/>
                <w:lang w:bidi="en-US"/>
              </w:rPr>
              <w:t>(μέγιστη δόση 30mg)</w:t>
            </w:r>
          </w:p>
        </w:tc>
      </w:tr>
      <w:tr w:rsidR="00F77617" w:rsidRPr="00FD5DE0" w:rsidTr="003519F1">
        <w:trPr>
          <w:trHeight w:val="287"/>
        </w:trPr>
        <w:tc>
          <w:tcPr>
            <w:tcW w:w="3499" w:type="dxa"/>
          </w:tcPr>
          <w:p w:rsidR="00F77617" w:rsidRPr="00FD5DE0" w:rsidRDefault="00F77617" w:rsidP="004E5971">
            <w:pPr>
              <w:jc w:val="both"/>
              <w:rPr>
                <w:bCs/>
                <w:lang w:bidi="en-US"/>
              </w:rPr>
            </w:pPr>
            <w:r w:rsidRPr="00FD5DE0">
              <w:rPr>
                <w:bCs/>
                <w:lang w:bidi="en-US"/>
              </w:rPr>
              <w:t>Καρπός</w:t>
            </w:r>
          </w:p>
        </w:tc>
        <w:tc>
          <w:tcPr>
            <w:tcW w:w="2739" w:type="dxa"/>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Pr>
          <w:p w:rsidR="00F77617" w:rsidRPr="00FD5DE0" w:rsidRDefault="00F77617" w:rsidP="004E5971">
            <w:pPr>
              <w:jc w:val="both"/>
              <w:rPr>
                <w:bCs/>
                <w:lang w:bidi="en-US"/>
              </w:rPr>
            </w:pPr>
            <w:r w:rsidRPr="00FD5DE0">
              <w:rPr>
                <w:bCs/>
                <w:lang w:bidi="en-US"/>
              </w:rPr>
              <w:t xml:space="preserve">0.25-0.5mg/kg </w:t>
            </w:r>
          </w:p>
          <w:p w:rsidR="00F77617" w:rsidRPr="00FD5DE0" w:rsidRDefault="00F77617" w:rsidP="004E5971">
            <w:pPr>
              <w:jc w:val="both"/>
              <w:rPr>
                <w:bCs/>
                <w:lang w:bidi="en-US"/>
              </w:rPr>
            </w:pPr>
            <w:r w:rsidRPr="00FD5DE0">
              <w:rPr>
                <w:bCs/>
                <w:lang w:bidi="en-US"/>
              </w:rPr>
              <w:t>(μέγιστη δόση 20mg)</w:t>
            </w:r>
          </w:p>
        </w:tc>
      </w:tr>
      <w:tr w:rsidR="00F77617" w:rsidRPr="00FD5DE0" w:rsidTr="003519F1">
        <w:trPr>
          <w:trHeight w:val="574"/>
        </w:trPr>
        <w:tc>
          <w:tcPr>
            <w:tcW w:w="3499" w:type="dxa"/>
          </w:tcPr>
          <w:p w:rsidR="00F77617" w:rsidRPr="00FD5DE0" w:rsidRDefault="00F77617" w:rsidP="004E5971">
            <w:pPr>
              <w:jc w:val="both"/>
              <w:rPr>
                <w:bCs/>
                <w:lang w:bidi="en-US"/>
              </w:rPr>
            </w:pPr>
            <w:r w:rsidRPr="00FD5DE0">
              <w:rPr>
                <w:bCs/>
                <w:lang w:bidi="en-US"/>
              </w:rPr>
              <w:t>Μετακαρποφαλαγγικές/ μεσοφαλαγγικές χεριού</w:t>
            </w:r>
          </w:p>
        </w:tc>
        <w:tc>
          <w:tcPr>
            <w:tcW w:w="2739" w:type="dxa"/>
          </w:tcPr>
          <w:p w:rsidR="00F77617" w:rsidRPr="00FD5DE0" w:rsidRDefault="00F77617" w:rsidP="004E5971">
            <w:pPr>
              <w:jc w:val="both"/>
              <w:rPr>
                <w:bCs/>
                <w:lang w:bidi="en-US"/>
              </w:rPr>
            </w:pPr>
            <w:r w:rsidRPr="00FD5DE0">
              <w:rPr>
                <w:bCs/>
                <w:lang w:bidi="en-US"/>
              </w:rPr>
              <w:t>Μεθυλπρεδνιζολόνη</w:t>
            </w:r>
          </w:p>
        </w:tc>
        <w:tc>
          <w:tcPr>
            <w:tcW w:w="3260" w:type="dxa"/>
          </w:tcPr>
          <w:p w:rsidR="00F77617" w:rsidRPr="00FD5DE0" w:rsidRDefault="00F77617" w:rsidP="004E5971">
            <w:pPr>
              <w:jc w:val="both"/>
              <w:rPr>
                <w:bCs/>
                <w:lang w:bidi="en-US"/>
              </w:rPr>
            </w:pPr>
            <w:r w:rsidRPr="00FD5DE0">
              <w:rPr>
                <w:bCs/>
                <w:lang w:bidi="en-US"/>
              </w:rPr>
              <w:t>5-10mg</w:t>
            </w:r>
          </w:p>
        </w:tc>
      </w:tr>
      <w:tr w:rsidR="00F77617" w:rsidRPr="00FD5DE0" w:rsidTr="003519F1">
        <w:trPr>
          <w:trHeight w:val="270"/>
        </w:trPr>
        <w:tc>
          <w:tcPr>
            <w:tcW w:w="3499" w:type="dxa"/>
          </w:tcPr>
          <w:p w:rsidR="00F77617" w:rsidRPr="00FD5DE0" w:rsidRDefault="00F77617" w:rsidP="004E5971">
            <w:pPr>
              <w:jc w:val="both"/>
              <w:rPr>
                <w:bCs/>
                <w:lang w:bidi="en-US"/>
              </w:rPr>
            </w:pPr>
            <w:r w:rsidRPr="00FD5DE0">
              <w:rPr>
                <w:bCs/>
                <w:lang w:bidi="en-US"/>
              </w:rPr>
              <w:t>Ισχίο</w:t>
            </w:r>
          </w:p>
        </w:tc>
        <w:tc>
          <w:tcPr>
            <w:tcW w:w="2739" w:type="dxa"/>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Pr>
          <w:p w:rsidR="00F77617" w:rsidRPr="00FD5DE0" w:rsidRDefault="00F77617" w:rsidP="004E5971">
            <w:pPr>
              <w:jc w:val="both"/>
              <w:rPr>
                <w:bCs/>
                <w:lang w:bidi="en-US"/>
              </w:rPr>
            </w:pPr>
            <w:r w:rsidRPr="00FD5DE0">
              <w:rPr>
                <w:bCs/>
                <w:lang w:bidi="en-US"/>
              </w:rPr>
              <w:t xml:space="preserve">1mg/kg </w:t>
            </w:r>
          </w:p>
          <w:p w:rsidR="00F77617" w:rsidRPr="00FD5DE0" w:rsidRDefault="00F77617" w:rsidP="004E5971">
            <w:pPr>
              <w:jc w:val="both"/>
              <w:rPr>
                <w:bCs/>
                <w:lang w:bidi="en-US"/>
              </w:rPr>
            </w:pPr>
            <w:r w:rsidRPr="00FD5DE0">
              <w:rPr>
                <w:bCs/>
                <w:lang w:bidi="en-US"/>
              </w:rPr>
              <w:t>(μέγιστη δόση 40mg)</w:t>
            </w:r>
          </w:p>
        </w:tc>
      </w:tr>
      <w:tr w:rsidR="00F77617" w:rsidRPr="00FD5DE0" w:rsidTr="003519F1">
        <w:trPr>
          <w:trHeight w:val="287"/>
        </w:trPr>
        <w:tc>
          <w:tcPr>
            <w:tcW w:w="3499" w:type="dxa"/>
          </w:tcPr>
          <w:p w:rsidR="00F77617" w:rsidRPr="00FD5DE0" w:rsidRDefault="00F77617" w:rsidP="004E5971">
            <w:pPr>
              <w:jc w:val="both"/>
              <w:rPr>
                <w:bCs/>
                <w:lang w:bidi="en-US"/>
              </w:rPr>
            </w:pPr>
            <w:r w:rsidRPr="00FD5DE0">
              <w:rPr>
                <w:bCs/>
                <w:lang w:bidi="en-US"/>
              </w:rPr>
              <w:t>Γόνατο</w:t>
            </w:r>
          </w:p>
        </w:tc>
        <w:tc>
          <w:tcPr>
            <w:tcW w:w="2739" w:type="dxa"/>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Pr>
          <w:p w:rsidR="00F77617" w:rsidRPr="00FD5DE0" w:rsidRDefault="00F77617" w:rsidP="004E5971">
            <w:pPr>
              <w:jc w:val="both"/>
              <w:rPr>
                <w:bCs/>
                <w:lang w:bidi="en-US"/>
              </w:rPr>
            </w:pPr>
            <w:r w:rsidRPr="00FD5DE0">
              <w:rPr>
                <w:bCs/>
                <w:lang w:bidi="en-US"/>
              </w:rPr>
              <w:t xml:space="preserve">1mg/kg </w:t>
            </w:r>
          </w:p>
          <w:p w:rsidR="00F77617" w:rsidRPr="00FD5DE0" w:rsidRDefault="00F77617" w:rsidP="004E5971">
            <w:pPr>
              <w:jc w:val="both"/>
              <w:rPr>
                <w:bCs/>
                <w:lang w:bidi="en-US"/>
              </w:rPr>
            </w:pPr>
            <w:r w:rsidRPr="00FD5DE0">
              <w:rPr>
                <w:bCs/>
                <w:lang w:bidi="en-US"/>
              </w:rPr>
              <w:t>(μέγιστη δόση 40mg)</w:t>
            </w:r>
          </w:p>
        </w:tc>
      </w:tr>
      <w:tr w:rsidR="00F77617" w:rsidRPr="00FD5DE0" w:rsidTr="003519F1">
        <w:trPr>
          <w:trHeight w:val="287"/>
        </w:trPr>
        <w:tc>
          <w:tcPr>
            <w:tcW w:w="3499" w:type="dxa"/>
          </w:tcPr>
          <w:p w:rsidR="00F77617" w:rsidRPr="00FD5DE0" w:rsidRDefault="00F77617" w:rsidP="004E5971">
            <w:pPr>
              <w:jc w:val="both"/>
              <w:rPr>
                <w:bCs/>
                <w:lang w:bidi="en-US"/>
              </w:rPr>
            </w:pPr>
            <w:r w:rsidRPr="00FD5DE0">
              <w:rPr>
                <w:bCs/>
                <w:lang w:bidi="en-US"/>
              </w:rPr>
              <w:t>Ποδοκνημική</w:t>
            </w:r>
          </w:p>
        </w:tc>
        <w:tc>
          <w:tcPr>
            <w:tcW w:w="2739" w:type="dxa"/>
          </w:tcPr>
          <w:p w:rsidR="00F77617" w:rsidRPr="00FD5DE0" w:rsidRDefault="00F77617" w:rsidP="004E5971">
            <w:pPr>
              <w:jc w:val="both"/>
              <w:rPr>
                <w:bCs/>
                <w:lang w:bidi="en-US"/>
              </w:rPr>
            </w:pPr>
            <w:r w:rsidRPr="00FD5DE0">
              <w:rPr>
                <w:bCs/>
                <w:lang w:bidi="en-US"/>
              </w:rPr>
              <w:t>Εξακετονική τριαμσινολόνη</w:t>
            </w:r>
          </w:p>
        </w:tc>
        <w:tc>
          <w:tcPr>
            <w:tcW w:w="3260" w:type="dxa"/>
          </w:tcPr>
          <w:p w:rsidR="00F77617" w:rsidRPr="00FD5DE0" w:rsidRDefault="00F77617" w:rsidP="004E5971">
            <w:pPr>
              <w:jc w:val="both"/>
              <w:rPr>
                <w:bCs/>
                <w:lang w:bidi="en-US"/>
              </w:rPr>
            </w:pPr>
            <w:r w:rsidRPr="00FD5DE0">
              <w:rPr>
                <w:bCs/>
                <w:lang w:bidi="en-US"/>
              </w:rPr>
              <w:t xml:space="preserve">0.75mg/kg </w:t>
            </w:r>
          </w:p>
          <w:p w:rsidR="00F77617" w:rsidRPr="00FD5DE0" w:rsidRDefault="00F77617" w:rsidP="004E5971">
            <w:pPr>
              <w:jc w:val="both"/>
              <w:rPr>
                <w:bCs/>
                <w:lang w:bidi="en-US"/>
              </w:rPr>
            </w:pPr>
            <w:r w:rsidRPr="00FD5DE0">
              <w:rPr>
                <w:bCs/>
                <w:lang w:bidi="en-US"/>
              </w:rPr>
              <w:t>(μέγιστη δόση 30mg)</w:t>
            </w:r>
          </w:p>
        </w:tc>
      </w:tr>
      <w:tr w:rsidR="00F77617" w:rsidRPr="00FD5DE0" w:rsidTr="003519F1">
        <w:trPr>
          <w:trHeight w:val="287"/>
        </w:trPr>
        <w:tc>
          <w:tcPr>
            <w:tcW w:w="3499" w:type="dxa"/>
          </w:tcPr>
          <w:p w:rsidR="00F77617" w:rsidRPr="00FD5DE0" w:rsidRDefault="00F77617" w:rsidP="004E5971">
            <w:pPr>
              <w:jc w:val="both"/>
              <w:rPr>
                <w:bCs/>
                <w:lang w:bidi="en-US"/>
              </w:rPr>
            </w:pPr>
            <w:r w:rsidRPr="00FD5DE0">
              <w:rPr>
                <w:bCs/>
                <w:lang w:bidi="en-US"/>
              </w:rPr>
              <w:t>Αστράγαλος/πτέρνα</w:t>
            </w:r>
          </w:p>
        </w:tc>
        <w:tc>
          <w:tcPr>
            <w:tcW w:w="2739" w:type="dxa"/>
          </w:tcPr>
          <w:p w:rsidR="00F77617" w:rsidRPr="00FD5DE0" w:rsidRDefault="00F77617" w:rsidP="004E5971">
            <w:pPr>
              <w:jc w:val="both"/>
              <w:rPr>
                <w:bCs/>
                <w:lang w:bidi="en-US"/>
              </w:rPr>
            </w:pPr>
            <w:r w:rsidRPr="00FD5DE0">
              <w:rPr>
                <w:bCs/>
                <w:lang w:bidi="en-US"/>
              </w:rPr>
              <w:t>Μεθυλπρεδνιζολόνη</w:t>
            </w:r>
          </w:p>
        </w:tc>
        <w:tc>
          <w:tcPr>
            <w:tcW w:w="3260" w:type="dxa"/>
          </w:tcPr>
          <w:p w:rsidR="00F77617" w:rsidRPr="00FD5DE0" w:rsidRDefault="00F77617" w:rsidP="004E5971">
            <w:pPr>
              <w:jc w:val="both"/>
              <w:rPr>
                <w:bCs/>
                <w:lang w:bidi="en-US"/>
              </w:rPr>
            </w:pPr>
            <w:r w:rsidRPr="00FD5DE0">
              <w:rPr>
                <w:bCs/>
                <w:lang w:bidi="en-US"/>
              </w:rPr>
              <w:t>20-40mg</w:t>
            </w:r>
          </w:p>
        </w:tc>
      </w:tr>
      <w:tr w:rsidR="00F77617" w:rsidRPr="00FD5DE0" w:rsidTr="003519F1">
        <w:trPr>
          <w:trHeight w:val="558"/>
        </w:trPr>
        <w:tc>
          <w:tcPr>
            <w:tcW w:w="3499" w:type="dxa"/>
          </w:tcPr>
          <w:p w:rsidR="00F77617" w:rsidRPr="00FD5DE0" w:rsidRDefault="00F77617" w:rsidP="004E5971">
            <w:pPr>
              <w:jc w:val="both"/>
              <w:rPr>
                <w:bCs/>
                <w:lang w:bidi="en-US"/>
              </w:rPr>
            </w:pPr>
            <w:r w:rsidRPr="00FD5DE0">
              <w:rPr>
                <w:bCs/>
                <w:lang w:bidi="en-US"/>
              </w:rPr>
              <w:t>Μετατάρσια ή μεσοφαλαγγικές</w:t>
            </w:r>
          </w:p>
          <w:p w:rsidR="00F77617" w:rsidRPr="00FD5DE0" w:rsidRDefault="00F77617" w:rsidP="004E5971">
            <w:pPr>
              <w:jc w:val="both"/>
              <w:rPr>
                <w:bCs/>
                <w:lang w:bidi="en-US"/>
              </w:rPr>
            </w:pPr>
            <w:r w:rsidRPr="00FD5DE0">
              <w:rPr>
                <w:bCs/>
                <w:lang w:bidi="en-US"/>
              </w:rPr>
              <w:t xml:space="preserve"> ποδιών</w:t>
            </w:r>
          </w:p>
        </w:tc>
        <w:tc>
          <w:tcPr>
            <w:tcW w:w="2739" w:type="dxa"/>
          </w:tcPr>
          <w:p w:rsidR="00F77617" w:rsidRPr="00FD5DE0" w:rsidRDefault="00F77617" w:rsidP="004E5971">
            <w:pPr>
              <w:jc w:val="both"/>
              <w:rPr>
                <w:bCs/>
                <w:lang w:bidi="en-US"/>
              </w:rPr>
            </w:pPr>
            <w:r w:rsidRPr="00FD5DE0">
              <w:rPr>
                <w:bCs/>
                <w:lang w:bidi="en-US"/>
              </w:rPr>
              <w:t>Μεθυλπρεδνιζολόνη</w:t>
            </w:r>
          </w:p>
        </w:tc>
        <w:tc>
          <w:tcPr>
            <w:tcW w:w="3260" w:type="dxa"/>
          </w:tcPr>
          <w:p w:rsidR="00F77617" w:rsidRPr="00FD5DE0" w:rsidRDefault="00F77617" w:rsidP="004E5971">
            <w:pPr>
              <w:jc w:val="both"/>
              <w:rPr>
                <w:bCs/>
                <w:lang w:bidi="en-US"/>
              </w:rPr>
            </w:pPr>
            <w:r w:rsidRPr="00FD5DE0">
              <w:rPr>
                <w:bCs/>
                <w:lang w:bidi="en-US"/>
              </w:rPr>
              <w:t>5-10mg</w:t>
            </w:r>
          </w:p>
        </w:tc>
      </w:tr>
      <w:tr w:rsidR="00F77617" w:rsidRPr="00FD5DE0" w:rsidTr="003519F1">
        <w:trPr>
          <w:trHeight w:val="304"/>
        </w:trPr>
        <w:tc>
          <w:tcPr>
            <w:tcW w:w="3499" w:type="dxa"/>
          </w:tcPr>
          <w:p w:rsidR="00F77617" w:rsidRPr="00FD5DE0" w:rsidRDefault="00F77617" w:rsidP="004E5971">
            <w:pPr>
              <w:jc w:val="both"/>
              <w:rPr>
                <w:bCs/>
                <w:lang w:bidi="en-US"/>
              </w:rPr>
            </w:pPr>
            <w:r w:rsidRPr="00FD5DE0">
              <w:rPr>
                <w:bCs/>
                <w:lang w:bidi="en-US"/>
              </w:rPr>
              <w:t xml:space="preserve">Ενθέσεις ή έλυτρα τενόντων </w:t>
            </w:r>
          </w:p>
        </w:tc>
        <w:tc>
          <w:tcPr>
            <w:tcW w:w="2739" w:type="dxa"/>
          </w:tcPr>
          <w:p w:rsidR="00F77617" w:rsidRPr="00FD5DE0" w:rsidRDefault="00F77617" w:rsidP="004E5971">
            <w:pPr>
              <w:jc w:val="both"/>
              <w:rPr>
                <w:bCs/>
                <w:lang w:bidi="en-US"/>
              </w:rPr>
            </w:pPr>
            <w:r w:rsidRPr="00FD5DE0">
              <w:rPr>
                <w:bCs/>
                <w:lang w:bidi="en-US"/>
              </w:rPr>
              <w:t>Μεθυλπρεδνιζολόνη</w:t>
            </w:r>
          </w:p>
        </w:tc>
        <w:tc>
          <w:tcPr>
            <w:tcW w:w="3260" w:type="dxa"/>
          </w:tcPr>
          <w:p w:rsidR="00F77617" w:rsidRPr="00FD5DE0" w:rsidRDefault="00F77617" w:rsidP="004E5971">
            <w:pPr>
              <w:jc w:val="both"/>
              <w:rPr>
                <w:bCs/>
                <w:lang w:bidi="en-US"/>
              </w:rPr>
            </w:pPr>
            <w:r w:rsidRPr="00FD5DE0">
              <w:rPr>
                <w:bCs/>
                <w:lang w:bidi="en-US"/>
              </w:rPr>
              <w:t>20-40mg</w:t>
            </w:r>
          </w:p>
        </w:tc>
      </w:tr>
    </w:tbl>
    <w:p w:rsidR="00F77617" w:rsidRPr="00FD5DE0" w:rsidRDefault="00F77617" w:rsidP="00F77617">
      <w:pPr>
        <w:jc w:val="both"/>
        <w:rPr>
          <w:lang w:bidi="en-US"/>
        </w:rPr>
      </w:pPr>
    </w:p>
    <w:p w:rsidR="00F77617" w:rsidRPr="00D974AB" w:rsidRDefault="00F77617" w:rsidP="00F77617">
      <w:pPr>
        <w:jc w:val="both"/>
        <w:rPr>
          <w:lang w:bidi="en-US"/>
        </w:rPr>
      </w:pPr>
      <w:r w:rsidRPr="00D974AB">
        <w:rPr>
          <w:lang w:bidi="en-US"/>
        </w:rPr>
        <w:br w:type="page"/>
      </w:r>
    </w:p>
    <w:p w:rsidR="00F77617" w:rsidRDefault="00F77617" w:rsidP="00F77617">
      <w:pPr>
        <w:jc w:val="both"/>
        <w:rPr>
          <w:i/>
          <w:color w:val="FF0000"/>
          <w:vertAlign w:val="superscript"/>
          <w:lang w:bidi="en-US"/>
        </w:rPr>
      </w:pPr>
      <w:r w:rsidRPr="00D974AB">
        <w:rPr>
          <w:b/>
        </w:rPr>
        <w:t>Πίνακας</w:t>
      </w:r>
      <w:r w:rsidRPr="00D974AB">
        <w:rPr>
          <w:b/>
          <w:lang w:bidi="en-US"/>
        </w:rPr>
        <w:t xml:space="preserve"> </w:t>
      </w:r>
      <w:r w:rsidR="000A2E25">
        <w:rPr>
          <w:b/>
          <w:lang w:bidi="en-US"/>
        </w:rPr>
        <w:t>10</w:t>
      </w:r>
      <w:r w:rsidRPr="00D974AB">
        <w:rPr>
          <w:b/>
          <w:lang w:bidi="en-US"/>
        </w:rPr>
        <w:t xml:space="preserve">. </w:t>
      </w:r>
      <w:r w:rsidRPr="00D974AB">
        <w:rPr>
          <w:b/>
          <w:i/>
        </w:rPr>
        <w:t>Κύρια</w:t>
      </w:r>
      <w:r w:rsidRPr="00D974AB">
        <w:rPr>
          <w:b/>
          <w:i/>
          <w:lang w:bidi="en-US"/>
        </w:rPr>
        <w:t xml:space="preserve"> </w:t>
      </w:r>
      <w:r w:rsidRPr="00D974AB">
        <w:rPr>
          <w:b/>
          <w:i/>
        </w:rPr>
        <w:t>συνθετικά</w:t>
      </w:r>
      <w:r w:rsidRPr="00D974AB">
        <w:rPr>
          <w:b/>
          <w:lang w:bidi="en-US"/>
        </w:rPr>
        <w:t xml:space="preserve"> </w:t>
      </w:r>
      <w:r w:rsidRPr="00D974AB">
        <w:rPr>
          <w:b/>
          <w:i/>
        </w:rPr>
        <w:t>τροποποιητικά</w:t>
      </w:r>
      <w:r w:rsidRPr="00D974AB">
        <w:rPr>
          <w:b/>
          <w:i/>
          <w:lang w:bidi="en-US"/>
        </w:rPr>
        <w:t xml:space="preserve"> </w:t>
      </w:r>
      <w:r w:rsidRPr="00D974AB">
        <w:rPr>
          <w:b/>
          <w:i/>
        </w:rPr>
        <w:t>της</w:t>
      </w:r>
      <w:r w:rsidRPr="00D974AB">
        <w:rPr>
          <w:b/>
          <w:i/>
          <w:lang w:bidi="en-US"/>
        </w:rPr>
        <w:t xml:space="preserve"> </w:t>
      </w:r>
      <w:r w:rsidRPr="00D974AB">
        <w:rPr>
          <w:b/>
          <w:i/>
        </w:rPr>
        <w:t>νόσου</w:t>
      </w:r>
      <w:r w:rsidRPr="00D974AB">
        <w:rPr>
          <w:b/>
          <w:i/>
          <w:lang w:bidi="en-US"/>
        </w:rPr>
        <w:t xml:space="preserve"> </w:t>
      </w:r>
      <w:r w:rsidRPr="00D974AB">
        <w:rPr>
          <w:b/>
          <w:i/>
        </w:rPr>
        <w:t>αντιρευματικά</w:t>
      </w:r>
      <w:r w:rsidRPr="00D974AB">
        <w:rPr>
          <w:b/>
          <w:i/>
          <w:lang w:bidi="en-US"/>
        </w:rPr>
        <w:t xml:space="preserve"> </w:t>
      </w:r>
      <w:r w:rsidRPr="00D974AB">
        <w:rPr>
          <w:b/>
          <w:i/>
        </w:rPr>
        <w:t>φάρμακα</w:t>
      </w:r>
      <w:r w:rsidRPr="00D974AB">
        <w:rPr>
          <w:b/>
          <w:i/>
          <w:lang w:bidi="en-US"/>
        </w:rPr>
        <w:t xml:space="preserve"> (Disease Modifying Antirheumatic Drugs,  DMARDs ) </w:t>
      </w:r>
    </w:p>
    <w:p w:rsidR="003519F1" w:rsidRPr="00CC2E4E" w:rsidRDefault="003519F1" w:rsidP="00F77617">
      <w:pPr>
        <w:jc w:val="both"/>
        <w:rPr>
          <w:b/>
          <w:i/>
          <w:color w:val="FF0000"/>
          <w:lang w:bidi="en-US"/>
        </w:rPr>
      </w:pPr>
    </w:p>
    <w:tbl>
      <w:tblPr>
        <w:tblpPr w:leftFromText="180" w:rightFromText="180" w:vertAnchor="text" w:horzAnchor="margin" w:tblpX="-562" w:tblpY="73"/>
        <w:tblW w:w="9816" w:type="dxa"/>
        <w:tblLayout w:type="fixed"/>
        <w:tblLook w:val="04A0" w:firstRow="1" w:lastRow="0" w:firstColumn="1" w:lastColumn="0" w:noHBand="0" w:noVBand="1"/>
      </w:tblPr>
      <w:tblGrid>
        <w:gridCol w:w="2445"/>
        <w:gridCol w:w="2976"/>
        <w:gridCol w:w="1843"/>
        <w:gridCol w:w="2552"/>
      </w:tblGrid>
      <w:tr w:rsidR="00F77617" w:rsidRPr="00D974AB" w:rsidTr="003519F1">
        <w:tc>
          <w:tcPr>
            <w:tcW w:w="2445"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Φάρμακο</w:t>
            </w:r>
          </w:p>
        </w:tc>
        <w:tc>
          <w:tcPr>
            <w:tcW w:w="2976"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Δράση</w:t>
            </w:r>
          </w:p>
        </w:tc>
        <w:tc>
          <w:tcPr>
            <w:tcW w:w="1843"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Συνολική δόση (μέγιστη)</w:t>
            </w:r>
          </w:p>
        </w:tc>
        <w:tc>
          <w:tcPr>
            <w:tcW w:w="2552"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Οδός χορήγησης</w:t>
            </w:r>
          </w:p>
        </w:tc>
      </w:tr>
      <w:tr w:rsidR="00F77617" w:rsidRPr="00CC2E4E" w:rsidTr="003519F1">
        <w:tc>
          <w:tcPr>
            <w:tcW w:w="2445" w:type="dxa"/>
            <w:tcBorders>
              <w:top w:val="single" w:sz="4" w:space="0" w:color="auto"/>
            </w:tcBorders>
          </w:tcPr>
          <w:p w:rsidR="00F77617" w:rsidRPr="00CC2E4E" w:rsidRDefault="00F77617" w:rsidP="004E5971">
            <w:pPr>
              <w:jc w:val="both"/>
              <w:rPr>
                <w:bCs/>
                <w:lang w:bidi="en-US"/>
              </w:rPr>
            </w:pPr>
            <w:r w:rsidRPr="00CC2E4E">
              <w:rPr>
                <w:bCs/>
                <w:lang w:bidi="en-US"/>
              </w:rPr>
              <w:t>Αζαθειοπρίμη*</w:t>
            </w:r>
          </w:p>
        </w:tc>
        <w:tc>
          <w:tcPr>
            <w:tcW w:w="2976" w:type="dxa"/>
            <w:tcBorders>
              <w:top w:val="single" w:sz="4" w:space="0" w:color="auto"/>
            </w:tcBorders>
          </w:tcPr>
          <w:p w:rsidR="00F77617" w:rsidRPr="00CC2E4E" w:rsidRDefault="00F77617" w:rsidP="004E5971">
            <w:pPr>
              <w:jc w:val="both"/>
              <w:rPr>
                <w:bCs/>
                <w:lang w:bidi="en-US"/>
              </w:rPr>
            </w:pPr>
          </w:p>
        </w:tc>
        <w:tc>
          <w:tcPr>
            <w:tcW w:w="1843" w:type="dxa"/>
            <w:tcBorders>
              <w:top w:val="single" w:sz="4" w:space="0" w:color="auto"/>
            </w:tcBorders>
          </w:tcPr>
          <w:p w:rsidR="00F77617" w:rsidRPr="00CC2E4E" w:rsidRDefault="00F77617" w:rsidP="004E5971">
            <w:pPr>
              <w:jc w:val="both"/>
              <w:rPr>
                <w:bCs/>
                <w:lang w:bidi="en-US"/>
              </w:rPr>
            </w:pPr>
          </w:p>
        </w:tc>
        <w:tc>
          <w:tcPr>
            <w:tcW w:w="2552" w:type="dxa"/>
            <w:tcBorders>
              <w:top w:val="single" w:sz="4" w:space="0" w:color="auto"/>
            </w:tcBorders>
          </w:tcPr>
          <w:p w:rsidR="00F77617" w:rsidRPr="00CC2E4E" w:rsidRDefault="00F77617" w:rsidP="004E5971">
            <w:pPr>
              <w:jc w:val="both"/>
              <w:rPr>
                <w:bCs/>
                <w:lang w:bidi="en-US"/>
              </w:rPr>
            </w:pPr>
          </w:p>
        </w:tc>
      </w:tr>
      <w:tr w:rsidR="00F77617" w:rsidRPr="00CC2E4E" w:rsidTr="003519F1">
        <w:tc>
          <w:tcPr>
            <w:tcW w:w="2445" w:type="dxa"/>
          </w:tcPr>
          <w:p w:rsidR="00F77617" w:rsidRPr="00CC2E4E" w:rsidRDefault="00F77617" w:rsidP="004E5971">
            <w:pPr>
              <w:jc w:val="both"/>
              <w:rPr>
                <w:bCs/>
                <w:lang w:bidi="en-US"/>
              </w:rPr>
            </w:pPr>
            <w:r w:rsidRPr="00CC2E4E">
              <w:rPr>
                <w:bCs/>
                <w:lang w:bidi="en-US"/>
              </w:rPr>
              <w:t>Κυκλοσπορίνη</w:t>
            </w:r>
          </w:p>
        </w:tc>
        <w:tc>
          <w:tcPr>
            <w:tcW w:w="2976" w:type="dxa"/>
          </w:tcPr>
          <w:p w:rsidR="00F77617" w:rsidRPr="00CC2E4E" w:rsidRDefault="00F77617" w:rsidP="004E5971">
            <w:pPr>
              <w:jc w:val="both"/>
              <w:rPr>
                <w:bCs/>
                <w:lang w:bidi="en-US"/>
              </w:rPr>
            </w:pPr>
            <w:r w:rsidRPr="00CC2E4E">
              <w:rPr>
                <w:bCs/>
                <w:lang w:bidi="en-US"/>
              </w:rPr>
              <w:t xml:space="preserve">Κυρίως επίδραση στη λειτουργία   των                             Τ-λεμφοκυττάρων </w:t>
            </w:r>
          </w:p>
        </w:tc>
        <w:tc>
          <w:tcPr>
            <w:tcW w:w="1843" w:type="dxa"/>
          </w:tcPr>
          <w:p w:rsidR="00F77617" w:rsidRPr="00CC2E4E" w:rsidRDefault="00F77617" w:rsidP="004E5971">
            <w:pPr>
              <w:jc w:val="both"/>
              <w:rPr>
                <w:bCs/>
                <w:lang w:bidi="en-US"/>
              </w:rPr>
            </w:pPr>
            <w:r w:rsidRPr="00CC2E4E">
              <w:rPr>
                <w:bCs/>
                <w:lang w:bidi="en-US"/>
              </w:rPr>
              <w:t>3-5mg/kg/Η σε 2 δόσεις</w:t>
            </w:r>
          </w:p>
        </w:tc>
        <w:tc>
          <w:tcPr>
            <w:tcW w:w="2552" w:type="dxa"/>
          </w:tcPr>
          <w:p w:rsidR="00F77617" w:rsidRPr="00CC2E4E" w:rsidRDefault="00F77617" w:rsidP="004E5971">
            <w:pPr>
              <w:jc w:val="both"/>
              <w:rPr>
                <w:bCs/>
                <w:lang w:bidi="en-US"/>
              </w:rPr>
            </w:pPr>
            <w:r w:rsidRPr="00CC2E4E">
              <w:rPr>
                <w:bCs/>
                <w:lang w:bidi="en-US"/>
              </w:rPr>
              <w:t>Από του στόματος ή ενδοφλέβια</w:t>
            </w:r>
          </w:p>
        </w:tc>
      </w:tr>
      <w:tr w:rsidR="00F77617" w:rsidRPr="00CC2E4E" w:rsidTr="003519F1">
        <w:tc>
          <w:tcPr>
            <w:tcW w:w="2445" w:type="dxa"/>
          </w:tcPr>
          <w:p w:rsidR="00F77617" w:rsidRPr="00CC2E4E" w:rsidRDefault="00F77617" w:rsidP="004E5971">
            <w:pPr>
              <w:jc w:val="both"/>
              <w:rPr>
                <w:bCs/>
                <w:lang w:bidi="en-US"/>
              </w:rPr>
            </w:pPr>
            <w:r w:rsidRPr="00CC2E4E">
              <w:rPr>
                <w:bCs/>
                <w:lang w:bidi="en-US"/>
              </w:rPr>
              <w:t>Λεφλουνομίδη</w:t>
            </w:r>
          </w:p>
          <w:p w:rsidR="00F77617" w:rsidRPr="00CC2E4E" w:rsidRDefault="00F77617" w:rsidP="004E5971">
            <w:pPr>
              <w:jc w:val="both"/>
              <w:rPr>
                <w:bCs/>
                <w:lang w:bidi="en-US"/>
              </w:rPr>
            </w:pPr>
          </w:p>
        </w:tc>
        <w:tc>
          <w:tcPr>
            <w:tcW w:w="2976" w:type="dxa"/>
          </w:tcPr>
          <w:p w:rsidR="00F77617" w:rsidRPr="00CC2E4E" w:rsidRDefault="00F77617" w:rsidP="004E5971">
            <w:pPr>
              <w:jc w:val="both"/>
              <w:rPr>
                <w:bCs/>
                <w:lang w:bidi="en-US"/>
              </w:rPr>
            </w:pPr>
            <w:r w:rsidRPr="00CC2E4E">
              <w:rPr>
                <w:bCs/>
                <w:lang w:bidi="en-US"/>
              </w:rPr>
              <w:t>Κυρίως  επίδραση στη λειτουργία των αντιγονοπαρουσιαστικών κυττάρων</w:t>
            </w:r>
          </w:p>
        </w:tc>
        <w:tc>
          <w:tcPr>
            <w:tcW w:w="1843" w:type="dxa"/>
          </w:tcPr>
          <w:p w:rsidR="00F77617" w:rsidRPr="00CC2E4E" w:rsidRDefault="00F77617" w:rsidP="004E5971">
            <w:pPr>
              <w:jc w:val="both"/>
              <w:rPr>
                <w:bCs/>
                <w:lang w:bidi="en-US"/>
              </w:rPr>
            </w:pPr>
            <w:r w:rsidRPr="00CC2E4E">
              <w:rPr>
                <w:bCs/>
                <w:lang w:bidi="en-US"/>
              </w:rPr>
              <w:t>&lt;20 kg ΒΣ: 100 mg για την πρώτη ημέρα και στη συνέχεια 10 mg παρήμερα</w:t>
            </w:r>
          </w:p>
          <w:p w:rsidR="00F77617" w:rsidRPr="00CC2E4E" w:rsidRDefault="00F77617" w:rsidP="004E5971">
            <w:pPr>
              <w:jc w:val="both"/>
              <w:rPr>
                <w:bCs/>
                <w:lang w:bidi="en-US"/>
              </w:rPr>
            </w:pPr>
            <w:r w:rsidRPr="00CC2E4E">
              <w:rPr>
                <w:bCs/>
                <w:lang w:bidi="en-US"/>
              </w:rPr>
              <w:t>20-40 kg ΒΣ: 100mg για τις πρώτες 2 ημέρες και μετά 10 mg/Η</w:t>
            </w:r>
          </w:p>
          <w:p w:rsidR="00F77617" w:rsidRPr="00CC2E4E" w:rsidRDefault="00F77617" w:rsidP="004E5971">
            <w:pPr>
              <w:jc w:val="both"/>
              <w:rPr>
                <w:bCs/>
                <w:lang w:bidi="en-US"/>
              </w:rPr>
            </w:pPr>
            <w:r w:rsidRPr="00CC2E4E">
              <w:rPr>
                <w:bCs/>
                <w:lang w:bidi="en-US"/>
              </w:rPr>
              <w:t>&gt;40 kg ΒΣ: 100 mg για τις πρώτες 3 ημέρες και μετά 20mg/Η</w:t>
            </w:r>
          </w:p>
        </w:tc>
        <w:tc>
          <w:tcPr>
            <w:tcW w:w="2552" w:type="dxa"/>
          </w:tcPr>
          <w:p w:rsidR="00F77617" w:rsidRPr="00CC2E4E" w:rsidRDefault="00F77617" w:rsidP="004E5971">
            <w:pPr>
              <w:jc w:val="both"/>
              <w:rPr>
                <w:bCs/>
                <w:lang w:bidi="en-US"/>
              </w:rPr>
            </w:pPr>
            <w:r w:rsidRPr="00CC2E4E">
              <w:rPr>
                <w:bCs/>
                <w:lang w:bidi="en-US"/>
              </w:rPr>
              <w:t>Από του στόματος</w:t>
            </w:r>
          </w:p>
        </w:tc>
      </w:tr>
      <w:tr w:rsidR="00F77617" w:rsidRPr="00CC2E4E" w:rsidTr="003519F1">
        <w:tc>
          <w:tcPr>
            <w:tcW w:w="2445" w:type="dxa"/>
          </w:tcPr>
          <w:p w:rsidR="00F77617" w:rsidRPr="00CC2E4E" w:rsidRDefault="00F77617" w:rsidP="004E5971">
            <w:pPr>
              <w:jc w:val="both"/>
              <w:rPr>
                <w:bCs/>
                <w:lang w:bidi="en-US"/>
              </w:rPr>
            </w:pPr>
            <w:r w:rsidRPr="00CC2E4E">
              <w:rPr>
                <w:bCs/>
                <w:lang w:bidi="en-US"/>
              </w:rPr>
              <w:t>Μεθοτρεξάτη**</w:t>
            </w:r>
          </w:p>
        </w:tc>
        <w:tc>
          <w:tcPr>
            <w:tcW w:w="2976" w:type="dxa"/>
          </w:tcPr>
          <w:p w:rsidR="00F77617" w:rsidRPr="00CC2E4E" w:rsidRDefault="00F77617" w:rsidP="004E5971">
            <w:pPr>
              <w:jc w:val="both"/>
              <w:rPr>
                <w:bCs/>
                <w:lang w:bidi="en-US"/>
              </w:rPr>
            </w:pPr>
            <w:r w:rsidRPr="00CC2E4E">
              <w:rPr>
                <w:bCs/>
                <w:lang w:bidi="en-US"/>
              </w:rPr>
              <w:t>Κυρίως επίδραση στη λειτουργία των αντιγονοπαρουσιαστικών κυττάρων</w:t>
            </w:r>
          </w:p>
        </w:tc>
        <w:tc>
          <w:tcPr>
            <w:tcW w:w="1843" w:type="dxa"/>
          </w:tcPr>
          <w:p w:rsidR="00F77617" w:rsidRPr="00CC2E4E" w:rsidRDefault="00F77617" w:rsidP="004E5971">
            <w:pPr>
              <w:jc w:val="both"/>
              <w:rPr>
                <w:bCs/>
                <w:lang w:bidi="en-US"/>
              </w:rPr>
            </w:pPr>
            <w:r w:rsidRPr="00CC2E4E">
              <w:rPr>
                <w:bCs/>
                <w:lang w:bidi="en-US"/>
              </w:rPr>
              <w:t>15mg/Η σε 1 ή 2 συνεχόμενες Η/Εβδ  (25mg)</w:t>
            </w:r>
          </w:p>
        </w:tc>
        <w:tc>
          <w:tcPr>
            <w:tcW w:w="2552" w:type="dxa"/>
          </w:tcPr>
          <w:p w:rsidR="00F77617" w:rsidRPr="00CC2E4E" w:rsidRDefault="00F77617" w:rsidP="004E5971">
            <w:pPr>
              <w:jc w:val="both"/>
              <w:rPr>
                <w:bCs/>
                <w:lang w:bidi="en-US"/>
              </w:rPr>
            </w:pPr>
            <w:r w:rsidRPr="00CC2E4E">
              <w:rPr>
                <w:bCs/>
                <w:lang w:bidi="en-US"/>
              </w:rPr>
              <w:t>Από του στόματος ή υποδόρια</w:t>
            </w:r>
          </w:p>
        </w:tc>
      </w:tr>
      <w:tr w:rsidR="00F77617" w:rsidRPr="00CC2E4E" w:rsidTr="003519F1">
        <w:tc>
          <w:tcPr>
            <w:tcW w:w="2445" w:type="dxa"/>
          </w:tcPr>
          <w:p w:rsidR="00F77617" w:rsidRPr="00CC2E4E" w:rsidRDefault="00F77617" w:rsidP="004E5971">
            <w:pPr>
              <w:jc w:val="both"/>
              <w:rPr>
                <w:bCs/>
                <w:lang w:bidi="en-US"/>
              </w:rPr>
            </w:pPr>
            <w:r w:rsidRPr="00CC2E4E">
              <w:rPr>
                <w:bCs/>
                <w:lang w:bidi="en-US"/>
              </w:rPr>
              <w:t>Σουλφασαλαζίνη</w:t>
            </w:r>
          </w:p>
        </w:tc>
        <w:tc>
          <w:tcPr>
            <w:tcW w:w="2976" w:type="dxa"/>
          </w:tcPr>
          <w:p w:rsidR="00F77617" w:rsidRPr="00CC2E4E" w:rsidRDefault="00F77617" w:rsidP="004E5971">
            <w:pPr>
              <w:jc w:val="both"/>
              <w:rPr>
                <w:bCs/>
                <w:lang w:bidi="en-US"/>
              </w:rPr>
            </w:pPr>
            <w:r w:rsidRPr="00CC2E4E">
              <w:rPr>
                <w:bCs/>
                <w:lang w:bidi="en-US"/>
              </w:rPr>
              <w:t>Άγνωστη, πιθανή αντιφλεγμονώδης δράση μέσω καταστολής προσταγλανδινών και λευκοτριενίων</w:t>
            </w:r>
          </w:p>
          <w:p w:rsidR="00F77617" w:rsidRPr="00CC2E4E" w:rsidRDefault="00F77617" w:rsidP="004E5971">
            <w:pPr>
              <w:jc w:val="both"/>
              <w:rPr>
                <w:bCs/>
                <w:lang w:bidi="en-US"/>
              </w:rPr>
            </w:pPr>
          </w:p>
        </w:tc>
        <w:tc>
          <w:tcPr>
            <w:tcW w:w="1843" w:type="dxa"/>
          </w:tcPr>
          <w:p w:rsidR="00F77617" w:rsidRPr="00CC2E4E" w:rsidRDefault="00F77617" w:rsidP="004E5971">
            <w:pPr>
              <w:jc w:val="both"/>
              <w:rPr>
                <w:bCs/>
                <w:lang w:bidi="en-US"/>
              </w:rPr>
            </w:pPr>
            <w:r w:rsidRPr="00CC2E4E">
              <w:rPr>
                <w:bCs/>
                <w:lang w:bidi="en-US"/>
              </w:rPr>
              <w:t>50 mg/kg/Η  σε 2 ή3 δόσεις</w:t>
            </w:r>
          </w:p>
          <w:p w:rsidR="00F77617" w:rsidRPr="00CC2E4E" w:rsidRDefault="00F77617" w:rsidP="004E5971">
            <w:pPr>
              <w:jc w:val="both"/>
              <w:rPr>
                <w:bCs/>
                <w:lang w:bidi="en-US"/>
              </w:rPr>
            </w:pPr>
            <w:r w:rsidRPr="00CC2E4E">
              <w:rPr>
                <w:bCs/>
                <w:lang w:bidi="en-US"/>
              </w:rPr>
              <w:t>(2000 mg)</w:t>
            </w:r>
          </w:p>
        </w:tc>
        <w:tc>
          <w:tcPr>
            <w:tcW w:w="2552" w:type="dxa"/>
          </w:tcPr>
          <w:p w:rsidR="00F77617" w:rsidRPr="00CC2E4E" w:rsidRDefault="00F77617" w:rsidP="004E5971">
            <w:pPr>
              <w:jc w:val="both"/>
              <w:rPr>
                <w:bCs/>
                <w:lang w:bidi="en-US"/>
              </w:rPr>
            </w:pPr>
            <w:r w:rsidRPr="00CC2E4E">
              <w:rPr>
                <w:bCs/>
                <w:lang w:bidi="en-US"/>
              </w:rPr>
              <w:t>Από του στόματος</w:t>
            </w:r>
          </w:p>
        </w:tc>
      </w:tr>
      <w:tr w:rsidR="00F77617" w:rsidRPr="00CC2E4E" w:rsidTr="003519F1">
        <w:tc>
          <w:tcPr>
            <w:tcW w:w="2445" w:type="dxa"/>
            <w:tcBorders>
              <w:bottom w:val="single" w:sz="4" w:space="0" w:color="auto"/>
            </w:tcBorders>
          </w:tcPr>
          <w:p w:rsidR="00F77617" w:rsidRPr="00CC2E4E" w:rsidRDefault="00F77617" w:rsidP="004E5971">
            <w:pPr>
              <w:jc w:val="both"/>
              <w:rPr>
                <w:bCs/>
                <w:lang w:bidi="en-US"/>
              </w:rPr>
            </w:pPr>
            <w:r w:rsidRPr="00CC2E4E">
              <w:rPr>
                <w:bCs/>
                <w:lang w:bidi="en-US"/>
              </w:rPr>
              <w:t>Υδροξυχλωροκίνη***</w:t>
            </w:r>
          </w:p>
        </w:tc>
        <w:tc>
          <w:tcPr>
            <w:tcW w:w="2976" w:type="dxa"/>
            <w:tcBorders>
              <w:bottom w:val="single" w:sz="4" w:space="0" w:color="auto"/>
            </w:tcBorders>
          </w:tcPr>
          <w:p w:rsidR="00F77617" w:rsidRPr="00CC2E4E" w:rsidRDefault="00F77617" w:rsidP="004E5971">
            <w:pPr>
              <w:jc w:val="both"/>
              <w:rPr>
                <w:bCs/>
                <w:lang w:bidi="en-US"/>
              </w:rPr>
            </w:pPr>
          </w:p>
        </w:tc>
        <w:tc>
          <w:tcPr>
            <w:tcW w:w="1843" w:type="dxa"/>
            <w:tcBorders>
              <w:bottom w:val="single" w:sz="4" w:space="0" w:color="auto"/>
            </w:tcBorders>
          </w:tcPr>
          <w:p w:rsidR="00F77617" w:rsidRPr="00CC2E4E" w:rsidRDefault="00F77617" w:rsidP="004E5971">
            <w:pPr>
              <w:jc w:val="both"/>
              <w:rPr>
                <w:bCs/>
                <w:lang w:bidi="en-US"/>
              </w:rPr>
            </w:pPr>
          </w:p>
        </w:tc>
        <w:tc>
          <w:tcPr>
            <w:tcW w:w="2552" w:type="dxa"/>
            <w:tcBorders>
              <w:bottom w:val="single" w:sz="4" w:space="0" w:color="auto"/>
            </w:tcBorders>
          </w:tcPr>
          <w:p w:rsidR="00F77617" w:rsidRPr="00CC2E4E" w:rsidRDefault="00F77617" w:rsidP="004E5971">
            <w:pPr>
              <w:jc w:val="both"/>
              <w:rPr>
                <w:bCs/>
                <w:lang w:bidi="en-US"/>
              </w:rPr>
            </w:pPr>
          </w:p>
        </w:tc>
      </w:tr>
    </w:tbl>
    <w:p w:rsidR="00F77617" w:rsidRPr="00CC2E4E" w:rsidRDefault="00F77617" w:rsidP="00F77617">
      <w:pPr>
        <w:jc w:val="both"/>
        <w:rPr>
          <w:u w:val="single"/>
          <w:lang w:bidi="en-US"/>
        </w:rPr>
      </w:pPr>
    </w:p>
    <w:p w:rsidR="00F77617" w:rsidRPr="00D974AB" w:rsidRDefault="00F77617" w:rsidP="00F77617">
      <w:pPr>
        <w:jc w:val="both"/>
      </w:pPr>
      <w:r w:rsidRPr="00D974AB">
        <w:t xml:space="preserve">* Δεν χρησιμοποιείται σήμερα στη θεραπεία της </w:t>
      </w:r>
      <w:r w:rsidRPr="00D974AB">
        <w:rPr>
          <w:lang w:bidi="en-US"/>
        </w:rPr>
        <w:t>NIA</w:t>
      </w:r>
      <w:r w:rsidRPr="00D974AB">
        <w:t xml:space="preserve"> </w:t>
      </w:r>
    </w:p>
    <w:p w:rsidR="00F77617" w:rsidRPr="00D974AB" w:rsidRDefault="00F77617" w:rsidP="00F77617">
      <w:pPr>
        <w:jc w:val="both"/>
      </w:pPr>
      <w:r w:rsidRPr="00D974AB">
        <w:t>**</w:t>
      </w:r>
      <w:r w:rsidRPr="00D974AB">
        <w:rPr>
          <w:u w:val="single"/>
        </w:rPr>
        <w:t>Μεθοτρεξάτη</w:t>
      </w:r>
      <w:r w:rsidRPr="00D974AB">
        <w:t xml:space="preserve"> από του στόματος ή υποδορίως και η πλήρης αποτελεσματικότητά της είναι εμφανής μετά από 6-12 εβδομάδες θεραπείας. Η υποδόρια χορήγησή της φαίνεται να αυξάνει τη βιοδιαθεσιμότητά της και ενδείκνυται σε ασθενείς με δυσανοχή στην  από του στόματος  χορήγηση ή με μόνο γαστρική δυσανοχή και σε πτωχή συμμόρφωση του ασθενούς. </w:t>
      </w:r>
    </w:p>
    <w:p w:rsidR="00F77617" w:rsidRDefault="00F77617" w:rsidP="00F77617">
      <w:pPr>
        <w:jc w:val="both"/>
      </w:pPr>
      <w:r w:rsidRPr="00D974AB">
        <w:t>***Χρησιμοποιείται σπάνια  σε συνδυασμό με μεθοτρεξάτη με αβέβαια αποτελέσματα</w:t>
      </w:r>
    </w:p>
    <w:p w:rsidR="00AE7BF5" w:rsidRDefault="00F77617" w:rsidP="00F77617">
      <w:pPr>
        <w:jc w:val="both"/>
      </w:pPr>
      <w:r w:rsidRPr="00D974AB">
        <w:t xml:space="preserve">  </w:t>
      </w:r>
    </w:p>
    <w:p w:rsidR="00AE7BF5" w:rsidRDefault="00AE7BF5">
      <w:r>
        <w:br w:type="page"/>
      </w:r>
    </w:p>
    <w:p w:rsidR="00F77617" w:rsidRPr="00D974AB" w:rsidRDefault="00F77617" w:rsidP="00F77617">
      <w:pPr>
        <w:jc w:val="both"/>
      </w:pPr>
    </w:p>
    <w:p w:rsidR="00F77617" w:rsidRPr="00B32F5E" w:rsidRDefault="00F77617" w:rsidP="00F77617">
      <w:pPr>
        <w:jc w:val="both"/>
      </w:pPr>
      <w:r w:rsidRPr="00D974AB">
        <w:rPr>
          <w:b/>
        </w:rPr>
        <w:t>Πίνακας 1</w:t>
      </w:r>
      <w:r w:rsidR="000A2E25">
        <w:rPr>
          <w:b/>
        </w:rPr>
        <w:t>1</w:t>
      </w:r>
      <w:r w:rsidRPr="00D974AB">
        <w:rPr>
          <w:b/>
        </w:rPr>
        <w:t>.</w:t>
      </w:r>
      <w:r w:rsidRPr="00D974AB">
        <w:rPr>
          <w:b/>
          <w:i/>
        </w:rPr>
        <w:t xml:space="preserve"> Βιολογικά</w:t>
      </w:r>
      <w:r w:rsidRPr="00D974AB">
        <w:rPr>
          <w:b/>
        </w:rPr>
        <w:t xml:space="preserve"> </w:t>
      </w:r>
      <w:r w:rsidRPr="00D974AB">
        <w:rPr>
          <w:b/>
          <w:i/>
        </w:rPr>
        <w:t xml:space="preserve">τροποποιητικά της νόσου αντιρευματικά φάρμακα ή βιολογικοί παράγοντες </w:t>
      </w:r>
    </w:p>
    <w:p w:rsidR="00F77617" w:rsidRPr="00D974AB" w:rsidRDefault="00F77617" w:rsidP="00F77617">
      <w:pPr>
        <w:jc w:val="both"/>
        <w:rPr>
          <w:vertAlign w:val="superscript"/>
        </w:rPr>
      </w:pPr>
    </w:p>
    <w:p w:rsidR="00F77617" w:rsidRPr="00D974AB" w:rsidRDefault="00F77617" w:rsidP="00F77617">
      <w:pPr>
        <w:jc w:val="both"/>
        <w:rPr>
          <w:b/>
          <w:i/>
          <w:vertAlign w:val="superscript"/>
        </w:rPr>
      </w:pPr>
    </w:p>
    <w:tbl>
      <w:tblPr>
        <w:tblpPr w:leftFromText="180" w:rightFromText="180" w:vertAnchor="text" w:horzAnchor="margin" w:tblpX="-318" w:tblpY="73"/>
        <w:tblW w:w="9606" w:type="dxa"/>
        <w:tblBorders>
          <w:top w:val="single" w:sz="4" w:space="0" w:color="auto"/>
          <w:bottom w:val="single" w:sz="4" w:space="0" w:color="auto"/>
        </w:tblBorders>
        <w:tblLayout w:type="fixed"/>
        <w:tblLook w:val="04A0" w:firstRow="1" w:lastRow="0" w:firstColumn="1" w:lastColumn="0" w:noHBand="0" w:noVBand="1"/>
      </w:tblPr>
      <w:tblGrid>
        <w:gridCol w:w="1844"/>
        <w:gridCol w:w="2800"/>
        <w:gridCol w:w="3402"/>
        <w:gridCol w:w="1560"/>
      </w:tblGrid>
      <w:tr w:rsidR="00F77617" w:rsidRPr="00D974AB" w:rsidTr="00C67E4A">
        <w:tc>
          <w:tcPr>
            <w:tcW w:w="1844"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Παράγων</w:t>
            </w:r>
          </w:p>
        </w:tc>
        <w:tc>
          <w:tcPr>
            <w:tcW w:w="2800"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Μηχανισμός δράσης</w:t>
            </w:r>
          </w:p>
        </w:tc>
        <w:tc>
          <w:tcPr>
            <w:tcW w:w="3402"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Δόση (μέγιστη)</w:t>
            </w:r>
          </w:p>
        </w:tc>
        <w:tc>
          <w:tcPr>
            <w:tcW w:w="1560" w:type="dxa"/>
            <w:tcBorders>
              <w:top w:val="single" w:sz="4" w:space="0" w:color="auto"/>
              <w:bottom w:val="single" w:sz="4" w:space="0" w:color="auto"/>
            </w:tcBorders>
          </w:tcPr>
          <w:p w:rsidR="00F77617" w:rsidRPr="00D974AB" w:rsidRDefault="00F77617" w:rsidP="004E5971">
            <w:pPr>
              <w:jc w:val="both"/>
              <w:rPr>
                <w:b/>
                <w:bCs/>
                <w:lang w:bidi="en-US"/>
              </w:rPr>
            </w:pPr>
            <w:r w:rsidRPr="00D974AB">
              <w:rPr>
                <w:b/>
                <w:bCs/>
                <w:lang w:bidi="en-US"/>
              </w:rPr>
              <w:t>Οδός χορήγησης</w:t>
            </w:r>
          </w:p>
        </w:tc>
      </w:tr>
      <w:tr w:rsidR="00F77617" w:rsidRPr="00B32F5E" w:rsidTr="00C67E4A">
        <w:tc>
          <w:tcPr>
            <w:tcW w:w="1844" w:type="dxa"/>
            <w:tcBorders>
              <w:top w:val="single" w:sz="4" w:space="0" w:color="auto"/>
            </w:tcBorders>
          </w:tcPr>
          <w:p w:rsidR="00F77617" w:rsidRPr="00B32F5E" w:rsidRDefault="00F77617" w:rsidP="004E5971">
            <w:pPr>
              <w:jc w:val="both"/>
              <w:rPr>
                <w:bCs/>
                <w:lang w:bidi="en-US"/>
              </w:rPr>
            </w:pPr>
            <w:r w:rsidRPr="00B32F5E">
              <w:rPr>
                <w:bCs/>
                <w:lang w:bidi="en-US"/>
              </w:rPr>
              <w:t>Abatacept</w:t>
            </w:r>
          </w:p>
        </w:tc>
        <w:tc>
          <w:tcPr>
            <w:tcW w:w="2800" w:type="dxa"/>
            <w:tcBorders>
              <w:top w:val="single" w:sz="4" w:space="0" w:color="auto"/>
            </w:tcBorders>
          </w:tcPr>
          <w:p w:rsidR="00F77617" w:rsidRPr="00B32F5E" w:rsidRDefault="00F77617" w:rsidP="004E5971">
            <w:pPr>
              <w:jc w:val="both"/>
              <w:rPr>
                <w:bCs/>
                <w:lang w:bidi="en-US"/>
              </w:rPr>
            </w:pPr>
            <w:r w:rsidRPr="00B32F5E">
              <w:rPr>
                <w:bCs/>
                <w:lang w:bidi="en-US"/>
              </w:rPr>
              <w:t xml:space="preserve">Αναστολέας της συνδιέγερσης </w:t>
            </w:r>
            <w:r>
              <w:rPr>
                <w:bCs/>
                <w:lang w:bidi="en-US"/>
              </w:rPr>
              <w:t xml:space="preserve">   </w:t>
            </w:r>
            <w:r w:rsidRPr="00B32F5E">
              <w:rPr>
                <w:bCs/>
                <w:lang w:bidi="en-US"/>
              </w:rPr>
              <w:t>των            T-κυττάρων</w:t>
            </w:r>
          </w:p>
        </w:tc>
        <w:tc>
          <w:tcPr>
            <w:tcW w:w="3402" w:type="dxa"/>
            <w:tcBorders>
              <w:top w:val="single" w:sz="4" w:space="0" w:color="auto"/>
            </w:tcBorders>
          </w:tcPr>
          <w:p w:rsidR="00F77617" w:rsidRPr="00B32F5E" w:rsidRDefault="00F77617" w:rsidP="004E5971">
            <w:pPr>
              <w:jc w:val="both"/>
              <w:rPr>
                <w:bCs/>
                <w:lang w:bidi="en-US"/>
              </w:rPr>
            </w:pPr>
            <w:r w:rsidRPr="00B32F5E">
              <w:rPr>
                <w:bCs/>
                <w:lang w:bidi="en-US"/>
              </w:rPr>
              <w:t>10 mg/kg (1000 mg) στις 0, 2</w:t>
            </w:r>
          </w:p>
          <w:p w:rsidR="00F77617" w:rsidRPr="00B32F5E" w:rsidRDefault="00F77617" w:rsidP="004E5971">
            <w:pPr>
              <w:jc w:val="both"/>
              <w:rPr>
                <w:bCs/>
                <w:lang w:bidi="en-US"/>
              </w:rPr>
            </w:pPr>
            <w:r w:rsidRPr="00B32F5E">
              <w:rPr>
                <w:bCs/>
                <w:lang w:bidi="en-US"/>
              </w:rPr>
              <w:t xml:space="preserve"> και  4 </w:t>
            </w:r>
            <w:r>
              <w:rPr>
                <w:bCs/>
                <w:lang w:bidi="en-US"/>
              </w:rPr>
              <w:t>ε</w:t>
            </w:r>
            <w:r w:rsidRPr="00B32F5E">
              <w:rPr>
                <w:bCs/>
                <w:lang w:bidi="en-US"/>
              </w:rPr>
              <w:t xml:space="preserve">βδ και μετά ανά 4 </w:t>
            </w:r>
            <w:r>
              <w:rPr>
                <w:bCs/>
                <w:lang w:bidi="en-US"/>
              </w:rPr>
              <w:t>εβ</w:t>
            </w:r>
            <w:r w:rsidRPr="00B32F5E">
              <w:rPr>
                <w:bCs/>
                <w:lang w:bidi="en-US"/>
              </w:rPr>
              <w:t>δ</w:t>
            </w:r>
          </w:p>
        </w:tc>
        <w:tc>
          <w:tcPr>
            <w:tcW w:w="1560" w:type="dxa"/>
            <w:tcBorders>
              <w:top w:val="single" w:sz="4" w:space="0" w:color="auto"/>
            </w:tcBorders>
          </w:tcPr>
          <w:p w:rsidR="00F77617" w:rsidRPr="00B32F5E" w:rsidRDefault="00F77617" w:rsidP="004E5971">
            <w:pPr>
              <w:jc w:val="both"/>
              <w:rPr>
                <w:bCs/>
                <w:lang w:bidi="en-US"/>
              </w:rPr>
            </w:pPr>
            <w:r w:rsidRPr="00B32F5E">
              <w:rPr>
                <w:bCs/>
                <w:lang w:bidi="en-US"/>
              </w:rPr>
              <w:t>Ενδοφλέβια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Adalimumab</w:t>
            </w:r>
          </w:p>
        </w:tc>
        <w:tc>
          <w:tcPr>
            <w:tcW w:w="2800" w:type="dxa"/>
          </w:tcPr>
          <w:p w:rsidR="00F77617" w:rsidRPr="00B32F5E" w:rsidRDefault="00F77617" w:rsidP="004E5971">
            <w:pPr>
              <w:jc w:val="both"/>
              <w:rPr>
                <w:bCs/>
                <w:lang w:bidi="en-US"/>
              </w:rPr>
            </w:pPr>
            <w:r w:rsidRPr="00B32F5E">
              <w:rPr>
                <w:bCs/>
                <w:lang w:bidi="en-US"/>
              </w:rPr>
              <w:t xml:space="preserve">Εξανθρωποποιημένο αντίσωμα κατά του TNF </w:t>
            </w:r>
          </w:p>
        </w:tc>
        <w:tc>
          <w:tcPr>
            <w:tcW w:w="3402" w:type="dxa"/>
          </w:tcPr>
          <w:p w:rsidR="00F77617" w:rsidRPr="00B32F5E" w:rsidRDefault="00F77617" w:rsidP="004E5971">
            <w:pPr>
              <w:jc w:val="both"/>
              <w:rPr>
                <w:bCs/>
                <w:lang w:bidi="en-US"/>
              </w:rPr>
            </w:pPr>
            <w:r w:rsidRPr="00B32F5E">
              <w:rPr>
                <w:bCs/>
                <w:lang w:bidi="en-US"/>
              </w:rPr>
              <w:t xml:space="preserve"> 24mg/m2 / ανά 2 </w:t>
            </w:r>
            <w:r>
              <w:rPr>
                <w:bCs/>
                <w:lang w:bidi="en-US"/>
              </w:rPr>
              <w:t>ε</w:t>
            </w:r>
            <w:r w:rsidRPr="00B32F5E">
              <w:rPr>
                <w:bCs/>
                <w:lang w:bidi="en-US"/>
              </w:rPr>
              <w:t>βδ</w:t>
            </w:r>
          </w:p>
          <w:p w:rsidR="00F77617" w:rsidRPr="00B32F5E" w:rsidRDefault="00F77617" w:rsidP="004E5971">
            <w:pPr>
              <w:jc w:val="both"/>
              <w:rPr>
                <w:bCs/>
                <w:lang w:bidi="en-US"/>
              </w:rPr>
            </w:pPr>
            <w:r w:rsidRPr="00B32F5E">
              <w:rPr>
                <w:bCs/>
                <w:lang w:bidi="en-US"/>
              </w:rPr>
              <w:t xml:space="preserve">ή&lt;30 kg ΒΣ*, 20 mg / ανά 2 </w:t>
            </w:r>
            <w:r>
              <w:rPr>
                <w:bCs/>
                <w:lang w:bidi="en-US"/>
              </w:rPr>
              <w:t>ε</w:t>
            </w:r>
            <w:r w:rsidRPr="00B32F5E">
              <w:rPr>
                <w:bCs/>
                <w:lang w:bidi="en-US"/>
              </w:rPr>
              <w:t>βδ</w:t>
            </w:r>
          </w:p>
          <w:p w:rsidR="00F77617" w:rsidRPr="00B32F5E" w:rsidRDefault="00F77617" w:rsidP="004E5971">
            <w:pPr>
              <w:jc w:val="both"/>
              <w:rPr>
                <w:bCs/>
                <w:lang w:bidi="en-US"/>
              </w:rPr>
            </w:pPr>
            <w:r w:rsidRPr="00B32F5E">
              <w:rPr>
                <w:bCs/>
                <w:lang w:bidi="en-US"/>
              </w:rPr>
              <w:t xml:space="preserve">&gt;30Κg ΒΣ, 40 mg / ανά 2 </w:t>
            </w:r>
            <w:r>
              <w:rPr>
                <w:bCs/>
                <w:lang w:bidi="en-US"/>
              </w:rPr>
              <w:t>ε</w:t>
            </w:r>
            <w:r w:rsidRPr="00B32F5E">
              <w:rPr>
                <w:bCs/>
                <w:lang w:bidi="en-US"/>
              </w:rPr>
              <w:t>βδ</w:t>
            </w:r>
          </w:p>
        </w:tc>
        <w:tc>
          <w:tcPr>
            <w:tcW w:w="1560" w:type="dxa"/>
          </w:tcPr>
          <w:p w:rsidR="00F77617" w:rsidRPr="00B32F5E" w:rsidRDefault="00F77617" w:rsidP="004E5971">
            <w:pPr>
              <w:jc w:val="both"/>
              <w:rPr>
                <w:bCs/>
                <w:lang w:bidi="en-US"/>
              </w:rPr>
            </w:pPr>
            <w:r w:rsidRPr="00B32F5E">
              <w:rPr>
                <w:bCs/>
                <w:lang w:bidi="en-US"/>
              </w:rPr>
              <w:t>Υποδόρια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Anakinra</w:t>
            </w:r>
          </w:p>
        </w:tc>
        <w:tc>
          <w:tcPr>
            <w:tcW w:w="2800" w:type="dxa"/>
          </w:tcPr>
          <w:p w:rsidR="00F77617" w:rsidRPr="00B32F5E" w:rsidRDefault="00F77617" w:rsidP="004E5971">
            <w:pPr>
              <w:jc w:val="both"/>
              <w:rPr>
                <w:bCs/>
                <w:lang w:bidi="en-US"/>
              </w:rPr>
            </w:pPr>
            <w:r w:rsidRPr="00B32F5E">
              <w:rPr>
                <w:bCs/>
                <w:lang w:bidi="en-US"/>
              </w:rPr>
              <w:t>Ανταγωνιστής του υποδοχέα  της  IL-1</w:t>
            </w:r>
          </w:p>
        </w:tc>
        <w:tc>
          <w:tcPr>
            <w:tcW w:w="3402" w:type="dxa"/>
          </w:tcPr>
          <w:p w:rsidR="00F77617" w:rsidRPr="00B32F5E" w:rsidRDefault="00F77617" w:rsidP="004E5971">
            <w:pPr>
              <w:jc w:val="both"/>
              <w:rPr>
                <w:bCs/>
                <w:lang w:bidi="en-US"/>
              </w:rPr>
            </w:pPr>
            <w:r w:rsidRPr="00B32F5E">
              <w:rPr>
                <w:bCs/>
                <w:lang w:bidi="en-US"/>
              </w:rPr>
              <w:t>2 mg/kg/Η (100 mg)</w:t>
            </w:r>
          </w:p>
        </w:tc>
        <w:tc>
          <w:tcPr>
            <w:tcW w:w="1560" w:type="dxa"/>
          </w:tcPr>
          <w:p w:rsidR="00F77617" w:rsidRPr="00B32F5E" w:rsidRDefault="00F77617" w:rsidP="004E5971">
            <w:pPr>
              <w:jc w:val="both"/>
              <w:rPr>
                <w:bCs/>
                <w:lang w:bidi="en-US"/>
              </w:rPr>
            </w:pPr>
            <w:r w:rsidRPr="00B32F5E">
              <w:rPr>
                <w:bCs/>
                <w:lang w:bidi="en-US"/>
              </w:rPr>
              <w:t>Υποδόρια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Canakinumab</w:t>
            </w:r>
          </w:p>
          <w:p w:rsidR="00F77617" w:rsidRPr="00B32F5E" w:rsidRDefault="00F77617" w:rsidP="004E5971">
            <w:pPr>
              <w:jc w:val="both"/>
              <w:rPr>
                <w:bCs/>
                <w:lang w:bidi="en-US"/>
              </w:rPr>
            </w:pPr>
          </w:p>
        </w:tc>
        <w:tc>
          <w:tcPr>
            <w:tcW w:w="2800" w:type="dxa"/>
          </w:tcPr>
          <w:p w:rsidR="00F77617" w:rsidRPr="00B32F5E" w:rsidRDefault="00F77617" w:rsidP="004E5971">
            <w:pPr>
              <w:jc w:val="both"/>
              <w:rPr>
                <w:bCs/>
                <w:lang w:bidi="en-US"/>
              </w:rPr>
            </w:pPr>
            <w:r w:rsidRPr="00B32F5E">
              <w:rPr>
                <w:bCs/>
                <w:lang w:bidi="en-US"/>
              </w:rPr>
              <w:t>Εξανθρωποποιημένο αντίσωμα κατά της IL-1β</w:t>
            </w:r>
          </w:p>
        </w:tc>
        <w:tc>
          <w:tcPr>
            <w:tcW w:w="3402" w:type="dxa"/>
          </w:tcPr>
          <w:p w:rsidR="00F77617" w:rsidRPr="00B32F5E" w:rsidRDefault="00F77617" w:rsidP="004E5971">
            <w:pPr>
              <w:jc w:val="both"/>
              <w:rPr>
                <w:bCs/>
                <w:lang w:bidi="en-US"/>
              </w:rPr>
            </w:pPr>
            <w:r w:rsidRPr="00B32F5E">
              <w:rPr>
                <w:bCs/>
                <w:lang w:bidi="en-US"/>
              </w:rPr>
              <w:t>4 mg/kg/Η (150 mg) ανά μήνα</w:t>
            </w:r>
          </w:p>
          <w:p w:rsidR="00F77617" w:rsidRPr="00B32F5E" w:rsidRDefault="00F77617" w:rsidP="004E5971">
            <w:pPr>
              <w:jc w:val="both"/>
              <w:rPr>
                <w:bCs/>
                <w:lang w:bidi="en-US"/>
              </w:rPr>
            </w:pPr>
          </w:p>
        </w:tc>
        <w:tc>
          <w:tcPr>
            <w:tcW w:w="1560" w:type="dxa"/>
          </w:tcPr>
          <w:p w:rsidR="00F77617" w:rsidRPr="00B32F5E" w:rsidRDefault="00F77617" w:rsidP="004E5971">
            <w:pPr>
              <w:jc w:val="both"/>
              <w:rPr>
                <w:bCs/>
                <w:lang w:bidi="en-US"/>
              </w:rPr>
            </w:pPr>
            <w:r w:rsidRPr="00B32F5E">
              <w:rPr>
                <w:bCs/>
                <w:lang w:bidi="en-US"/>
              </w:rPr>
              <w:t>Υποδόρια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Etanercept</w:t>
            </w:r>
          </w:p>
        </w:tc>
        <w:tc>
          <w:tcPr>
            <w:tcW w:w="2800" w:type="dxa"/>
          </w:tcPr>
          <w:p w:rsidR="00F77617" w:rsidRPr="00B32F5E" w:rsidRDefault="00F77617" w:rsidP="004E5971">
            <w:pPr>
              <w:jc w:val="both"/>
              <w:rPr>
                <w:bCs/>
                <w:lang w:bidi="en-US"/>
              </w:rPr>
            </w:pPr>
            <w:r>
              <w:rPr>
                <w:bCs/>
                <w:lang w:bidi="en-US"/>
              </w:rPr>
              <w:t>Δ</w:t>
            </w:r>
            <w:r w:rsidRPr="00B32F5E">
              <w:rPr>
                <w:bCs/>
                <w:lang w:bidi="en-US"/>
              </w:rPr>
              <w:t xml:space="preserve">ιαλυτός υποδοχέας  </w:t>
            </w:r>
            <w:r>
              <w:rPr>
                <w:bCs/>
                <w:lang w:bidi="en-US"/>
              </w:rPr>
              <w:t xml:space="preserve">του </w:t>
            </w:r>
            <w:r w:rsidRPr="00B32F5E">
              <w:rPr>
                <w:bCs/>
                <w:lang w:bidi="en-US"/>
              </w:rPr>
              <w:t>TNF</w:t>
            </w:r>
          </w:p>
        </w:tc>
        <w:tc>
          <w:tcPr>
            <w:tcW w:w="3402" w:type="dxa"/>
          </w:tcPr>
          <w:p w:rsidR="00F77617" w:rsidRPr="00B32F5E" w:rsidRDefault="00F77617" w:rsidP="004E5971">
            <w:pPr>
              <w:jc w:val="both"/>
              <w:rPr>
                <w:bCs/>
                <w:lang w:bidi="en-US"/>
              </w:rPr>
            </w:pPr>
            <w:r w:rsidRPr="00B32F5E">
              <w:rPr>
                <w:bCs/>
                <w:lang w:bidi="en-US"/>
              </w:rPr>
              <w:t>0.8 mg/kg/</w:t>
            </w:r>
            <w:r>
              <w:rPr>
                <w:bCs/>
                <w:lang w:bidi="en-US"/>
              </w:rPr>
              <w:t>ε</w:t>
            </w:r>
            <w:r w:rsidRPr="00B32F5E">
              <w:rPr>
                <w:bCs/>
                <w:lang w:bidi="en-US"/>
              </w:rPr>
              <w:t>βδ,(50mg/</w:t>
            </w:r>
            <w:r>
              <w:rPr>
                <w:bCs/>
                <w:lang w:bidi="en-US"/>
              </w:rPr>
              <w:t>ε</w:t>
            </w:r>
            <w:r w:rsidRPr="00B32F5E">
              <w:rPr>
                <w:bCs/>
                <w:lang w:bidi="en-US"/>
              </w:rPr>
              <w:t>βδ)</w:t>
            </w:r>
          </w:p>
        </w:tc>
        <w:tc>
          <w:tcPr>
            <w:tcW w:w="1560" w:type="dxa"/>
          </w:tcPr>
          <w:p w:rsidR="00F77617" w:rsidRPr="00B32F5E" w:rsidRDefault="00F77617" w:rsidP="004E5971">
            <w:pPr>
              <w:jc w:val="both"/>
              <w:rPr>
                <w:bCs/>
                <w:lang w:bidi="en-US"/>
              </w:rPr>
            </w:pPr>
            <w:r w:rsidRPr="00B32F5E">
              <w:rPr>
                <w:bCs/>
                <w:lang w:bidi="en-US"/>
              </w:rPr>
              <w:t>Υποδόρια</w:t>
            </w:r>
          </w:p>
          <w:p w:rsidR="00F77617" w:rsidRPr="00B32F5E" w:rsidRDefault="00F77617" w:rsidP="004E5971">
            <w:pPr>
              <w:jc w:val="both"/>
              <w:rPr>
                <w:bCs/>
                <w:lang w:bidi="en-US"/>
              </w:rPr>
            </w:pP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Infliximab</w:t>
            </w:r>
          </w:p>
        </w:tc>
        <w:tc>
          <w:tcPr>
            <w:tcW w:w="2800" w:type="dxa"/>
          </w:tcPr>
          <w:p w:rsidR="00F77617" w:rsidRPr="00B32F5E" w:rsidRDefault="00F77617" w:rsidP="004E5971">
            <w:pPr>
              <w:jc w:val="both"/>
              <w:rPr>
                <w:bCs/>
                <w:lang w:bidi="en-US"/>
              </w:rPr>
            </w:pPr>
            <w:r w:rsidRPr="00B32F5E">
              <w:rPr>
                <w:bCs/>
                <w:lang w:bidi="en-US"/>
              </w:rPr>
              <w:t>Χιμαιρικό μονοκλωνικό</w:t>
            </w:r>
          </w:p>
          <w:p w:rsidR="00F77617" w:rsidRPr="00B32F5E" w:rsidRDefault="00F77617" w:rsidP="004E5971">
            <w:pPr>
              <w:jc w:val="both"/>
              <w:rPr>
                <w:bCs/>
                <w:lang w:bidi="en-US"/>
              </w:rPr>
            </w:pPr>
            <w:r w:rsidRPr="00B32F5E">
              <w:rPr>
                <w:bCs/>
                <w:lang w:bidi="en-US"/>
              </w:rPr>
              <w:t>αντίσωμα κατά του TNF-α</w:t>
            </w:r>
          </w:p>
        </w:tc>
        <w:tc>
          <w:tcPr>
            <w:tcW w:w="3402" w:type="dxa"/>
          </w:tcPr>
          <w:p w:rsidR="00F77617" w:rsidRPr="00B32F5E" w:rsidRDefault="00F77617" w:rsidP="004E5971">
            <w:pPr>
              <w:jc w:val="both"/>
              <w:rPr>
                <w:bCs/>
                <w:lang w:bidi="en-US"/>
              </w:rPr>
            </w:pPr>
            <w:r w:rsidRPr="00B32F5E">
              <w:rPr>
                <w:bCs/>
                <w:lang w:bidi="en-US"/>
              </w:rPr>
              <w:t xml:space="preserve">5-10mg/kg στις 0, 2, 6 </w:t>
            </w:r>
            <w:r>
              <w:rPr>
                <w:bCs/>
                <w:lang w:bidi="en-US"/>
              </w:rPr>
              <w:t>ε</w:t>
            </w:r>
            <w:r w:rsidRPr="00B32F5E">
              <w:rPr>
                <w:bCs/>
                <w:lang w:bidi="en-US"/>
              </w:rPr>
              <w:t xml:space="preserve">βδ και μετά ανά 4-8  </w:t>
            </w:r>
            <w:r>
              <w:rPr>
                <w:bCs/>
                <w:lang w:bidi="en-US"/>
              </w:rPr>
              <w:t>ε</w:t>
            </w:r>
            <w:r w:rsidRPr="00B32F5E">
              <w:rPr>
                <w:bCs/>
                <w:lang w:bidi="en-US"/>
              </w:rPr>
              <w:t>βδ</w:t>
            </w:r>
          </w:p>
        </w:tc>
        <w:tc>
          <w:tcPr>
            <w:tcW w:w="1560" w:type="dxa"/>
          </w:tcPr>
          <w:p w:rsidR="00F77617" w:rsidRPr="00B32F5E" w:rsidRDefault="00F77617" w:rsidP="004E5971">
            <w:pPr>
              <w:jc w:val="both"/>
              <w:rPr>
                <w:bCs/>
                <w:lang w:bidi="en-US"/>
              </w:rPr>
            </w:pPr>
            <w:r w:rsidRPr="00B32F5E">
              <w:rPr>
                <w:bCs/>
                <w:lang w:bidi="en-US"/>
              </w:rPr>
              <w:t>Ενδοφλέβια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 xml:space="preserve">Rituximab </w:t>
            </w:r>
          </w:p>
        </w:tc>
        <w:tc>
          <w:tcPr>
            <w:tcW w:w="2800" w:type="dxa"/>
          </w:tcPr>
          <w:p w:rsidR="00F77617" w:rsidRPr="00B32F5E" w:rsidRDefault="00F77617" w:rsidP="004E5971">
            <w:pPr>
              <w:jc w:val="both"/>
              <w:rPr>
                <w:bCs/>
                <w:lang w:bidi="en-US"/>
              </w:rPr>
            </w:pPr>
            <w:r w:rsidRPr="00B32F5E">
              <w:rPr>
                <w:bCs/>
                <w:lang w:bidi="en-US"/>
              </w:rPr>
              <w:t>Αντίσωμα κατά του επιφανειακού μορίου CD20</w:t>
            </w:r>
          </w:p>
        </w:tc>
        <w:tc>
          <w:tcPr>
            <w:tcW w:w="3402" w:type="dxa"/>
          </w:tcPr>
          <w:p w:rsidR="00F77617" w:rsidRPr="00B32F5E" w:rsidRDefault="00F77617" w:rsidP="004E5971">
            <w:pPr>
              <w:jc w:val="both"/>
              <w:rPr>
                <w:bCs/>
                <w:lang w:bidi="en-US"/>
              </w:rPr>
            </w:pPr>
            <w:r w:rsidRPr="00B32F5E">
              <w:rPr>
                <w:bCs/>
                <w:lang w:bidi="en-US"/>
              </w:rPr>
              <w:t xml:space="preserve">Δεν έχει καθοριστεί η παιδιατρική δόση, (μέγιστη δόση 1000mg 0,2 εβδ και                    6 μήνες  μετά) </w:t>
            </w:r>
          </w:p>
        </w:tc>
        <w:tc>
          <w:tcPr>
            <w:tcW w:w="1560" w:type="dxa"/>
          </w:tcPr>
          <w:p w:rsidR="00F77617" w:rsidRPr="00B32F5E" w:rsidRDefault="00F77617" w:rsidP="004E5971">
            <w:pPr>
              <w:jc w:val="both"/>
              <w:rPr>
                <w:bCs/>
                <w:lang w:bidi="en-US"/>
              </w:rPr>
            </w:pPr>
            <w:r w:rsidRPr="00B32F5E">
              <w:rPr>
                <w:bCs/>
                <w:lang w:bidi="en-US"/>
              </w:rPr>
              <w:t>Ενδοφλέβια</w:t>
            </w:r>
          </w:p>
        </w:tc>
      </w:tr>
      <w:tr w:rsidR="00F77617" w:rsidRPr="00B32F5E" w:rsidTr="00C67E4A">
        <w:tc>
          <w:tcPr>
            <w:tcW w:w="1844" w:type="dxa"/>
          </w:tcPr>
          <w:p w:rsidR="00F77617" w:rsidRPr="00B32F5E" w:rsidRDefault="00F77617" w:rsidP="004E5971">
            <w:pPr>
              <w:jc w:val="both"/>
              <w:rPr>
                <w:bCs/>
                <w:lang w:bidi="en-US"/>
              </w:rPr>
            </w:pPr>
            <w:r w:rsidRPr="00B32F5E">
              <w:rPr>
                <w:bCs/>
                <w:lang w:bidi="en-US"/>
              </w:rPr>
              <w:t>Tocilizumab</w:t>
            </w:r>
          </w:p>
        </w:tc>
        <w:tc>
          <w:tcPr>
            <w:tcW w:w="2800" w:type="dxa"/>
          </w:tcPr>
          <w:p w:rsidR="00F77617" w:rsidRPr="00B32F5E" w:rsidRDefault="00F77617" w:rsidP="004E5971">
            <w:pPr>
              <w:jc w:val="both"/>
              <w:rPr>
                <w:bCs/>
                <w:lang w:bidi="en-US"/>
              </w:rPr>
            </w:pPr>
            <w:r w:rsidRPr="00B32F5E">
              <w:rPr>
                <w:bCs/>
                <w:lang w:bidi="en-US"/>
              </w:rPr>
              <w:t>Αντίσωμα κατά του υποδοχέα της  IL-6</w:t>
            </w:r>
          </w:p>
        </w:tc>
        <w:tc>
          <w:tcPr>
            <w:tcW w:w="3402" w:type="dxa"/>
          </w:tcPr>
          <w:p w:rsidR="00F77617" w:rsidRPr="00B32F5E" w:rsidRDefault="00F77617" w:rsidP="004E5971">
            <w:pPr>
              <w:jc w:val="both"/>
              <w:rPr>
                <w:bCs/>
                <w:vertAlign w:val="superscript"/>
                <w:lang w:bidi="en-US"/>
              </w:rPr>
            </w:pPr>
            <w:r w:rsidRPr="00B32F5E">
              <w:rPr>
                <w:bCs/>
                <w:lang w:bidi="en-US"/>
              </w:rPr>
              <w:t>&lt;20 kg, 12 mg/kg/ ανά 2-4εβδ**</w:t>
            </w:r>
          </w:p>
          <w:p w:rsidR="00F77617" w:rsidRPr="00B32F5E" w:rsidRDefault="00F77617" w:rsidP="004E5971">
            <w:pPr>
              <w:jc w:val="both"/>
              <w:rPr>
                <w:bCs/>
                <w:lang w:bidi="en-US"/>
              </w:rPr>
            </w:pPr>
            <w:r w:rsidRPr="00B32F5E">
              <w:rPr>
                <w:bCs/>
                <w:lang w:bidi="en-US"/>
              </w:rPr>
              <w:t>&gt;20 kg, 8 mg/kg ανά 2-4εβδ</w:t>
            </w:r>
          </w:p>
        </w:tc>
        <w:tc>
          <w:tcPr>
            <w:tcW w:w="1560" w:type="dxa"/>
          </w:tcPr>
          <w:p w:rsidR="00F77617" w:rsidRPr="00B32F5E" w:rsidRDefault="00F77617" w:rsidP="004E5971">
            <w:pPr>
              <w:jc w:val="both"/>
              <w:rPr>
                <w:bCs/>
                <w:lang w:bidi="en-US"/>
              </w:rPr>
            </w:pPr>
            <w:r w:rsidRPr="00B32F5E">
              <w:rPr>
                <w:bCs/>
                <w:lang w:bidi="en-US"/>
              </w:rPr>
              <w:t>Ενδοφλέβια</w:t>
            </w:r>
          </w:p>
        </w:tc>
      </w:tr>
    </w:tbl>
    <w:p w:rsidR="00F77617" w:rsidRDefault="00F77617" w:rsidP="00F77617">
      <w:pPr>
        <w:jc w:val="both"/>
        <w:rPr>
          <w:bCs/>
        </w:rPr>
      </w:pPr>
    </w:p>
    <w:p w:rsidR="00F77617" w:rsidRPr="00D974AB" w:rsidRDefault="00F77617" w:rsidP="00F77617">
      <w:pPr>
        <w:jc w:val="both"/>
      </w:pPr>
      <w:r w:rsidRPr="00D974AB">
        <w:t xml:space="preserve">  </w:t>
      </w:r>
      <w:r w:rsidRPr="00D974AB">
        <w:rPr>
          <w:vertAlign w:val="superscript"/>
        </w:rPr>
        <w:t>*</w:t>
      </w:r>
      <w:r w:rsidRPr="00D974AB">
        <w:t>ΒΣ=Βάρος Σώματος,</w:t>
      </w:r>
      <w:r w:rsidRPr="00D974AB">
        <w:rPr>
          <w:vertAlign w:val="superscript"/>
        </w:rPr>
        <w:t xml:space="preserve"> </w:t>
      </w:r>
      <w:r w:rsidRPr="00D974AB">
        <w:rPr>
          <w:vertAlign w:val="superscript"/>
        </w:rPr>
        <w:sym w:font="Symbol" w:char="F02A"/>
      </w:r>
      <w:r w:rsidRPr="00D974AB">
        <w:rPr>
          <w:vertAlign w:val="superscript"/>
        </w:rPr>
        <w:sym w:font="Symbol" w:char="F02A"/>
      </w:r>
      <w:r w:rsidRPr="00D974AB">
        <w:rPr>
          <w:vertAlign w:val="superscript"/>
        </w:rPr>
        <w:t xml:space="preserve"> </w:t>
      </w:r>
      <w:r w:rsidRPr="00D974AB">
        <w:t xml:space="preserve">Ανά 2 εβδομάδες στη συστηματική </w:t>
      </w:r>
      <w:r w:rsidRPr="00D974AB">
        <w:rPr>
          <w:lang w:bidi="en-US"/>
        </w:rPr>
        <w:t>NIA</w:t>
      </w:r>
      <w:r w:rsidRPr="00D974AB">
        <w:t xml:space="preserve"> και ανά 4 εβδομάδες στην πολυαρθρική</w:t>
      </w:r>
    </w:p>
    <w:p w:rsidR="004E2F3D" w:rsidRDefault="004E2F3D" w:rsidP="00A067A2">
      <w:pPr>
        <w:jc w:val="both"/>
        <w:rPr>
          <w:b/>
        </w:rPr>
      </w:pPr>
    </w:p>
    <w:p w:rsidR="00163B51" w:rsidRDefault="00163B51">
      <w:pPr>
        <w:rPr>
          <w:b/>
        </w:rPr>
      </w:pPr>
      <w:r>
        <w:rPr>
          <w:b/>
        </w:rPr>
        <w:br w:type="page"/>
      </w:r>
    </w:p>
    <w:p w:rsidR="00163B51" w:rsidRPr="00D974AB" w:rsidRDefault="00163B51" w:rsidP="00163B51">
      <w:pPr>
        <w:jc w:val="both"/>
        <w:rPr>
          <w:b/>
        </w:rPr>
      </w:pPr>
      <w:r w:rsidRPr="00D974AB">
        <w:rPr>
          <w:b/>
        </w:rPr>
        <w:t>Πίνακας 1</w:t>
      </w:r>
      <w:r w:rsidR="000A2E25">
        <w:rPr>
          <w:b/>
        </w:rPr>
        <w:t>2</w:t>
      </w:r>
      <w:r w:rsidRPr="00D974AB">
        <w:rPr>
          <w:b/>
        </w:rPr>
        <w:t xml:space="preserve">.  </w:t>
      </w:r>
      <w:r w:rsidRPr="00D974AB">
        <w:rPr>
          <w:b/>
          <w:i/>
        </w:rPr>
        <w:t xml:space="preserve">Παρακολούθηση της ασφάλειας των συνθετικών και βιολογικών </w:t>
      </w:r>
      <w:r w:rsidRPr="00D974AB">
        <w:rPr>
          <w:b/>
          <w:i/>
          <w:lang w:bidi="en-US"/>
        </w:rPr>
        <w:t>DMARDS</w:t>
      </w:r>
      <w:r w:rsidRPr="00D974AB">
        <w:rPr>
          <w:b/>
          <w:i/>
        </w:rPr>
        <w:t xml:space="preserve"> σε ασθενείς με </w:t>
      </w:r>
      <w:r w:rsidRPr="00D974AB">
        <w:rPr>
          <w:b/>
          <w:i/>
          <w:lang w:bidi="en-US"/>
        </w:rPr>
        <w:t>NIA</w:t>
      </w:r>
      <w:r w:rsidRPr="00D974AB">
        <w:t xml:space="preserve"> </w:t>
      </w:r>
    </w:p>
    <w:p w:rsidR="00C67E4A" w:rsidRDefault="00901D48" w:rsidP="00163B51">
      <w:pPr>
        <w:jc w:val="both"/>
        <w:rPr>
          <w:b/>
          <w:i/>
        </w:rPr>
      </w:pPr>
      <w:r>
        <w:rPr>
          <w:b/>
          <w:i/>
          <w:noProof/>
          <w:lang w:eastAsia="el-GR"/>
        </w:rPr>
        <w:pict>
          <v:shape id="_x0000_s1029" type="#_x0000_t32" style="position:absolute;left:0;text-align:left;margin-left:3pt;margin-top:12.15pt;width:455.75pt;height:0;z-index:251661312" o:connectortype="straight"/>
        </w:pict>
      </w:r>
    </w:p>
    <w:p w:rsidR="00163B51" w:rsidRPr="00D974AB" w:rsidRDefault="00163B51" w:rsidP="00163B51">
      <w:pPr>
        <w:jc w:val="both"/>
        <w:rPr>
          <w:b/>
          <w:i/>
        </w:rPr>
      </w:pPr>
      <w:r w:rsidRPr="00D974AB">
        <w:rPr>
          <w:b/>
          <w:i/>
        </w:rPr>
        <w:t>Γενικές συστάσεις</w:t>
      </w:r>
    </w:p>
    <w:p w:rsidR="00163B51" w:rsidRPr="00E5178F" w:rsidRDefault="00163B51" w:rsidP="00C67E4A">
      <w:pPr>
        <w:pStyle w:val="ListParagraph"/>
        <w:numPr>
          <w:ilvl w:val="0"/>
          <w:numId w:val="41"/>
        </w:numPr>
        <w:jc w:val="both"/>
        <w:rPr>
          <w:lang w:val="el-GR"/>
        </w:rPr>
      </w:pPr>
      <w:r w:rsidRPr="00E5178F">
        <w:rPr>
          <w:lang w:val="el-GR"/>
        </w:rPr>
        <w:t>Δεν  επιτρέπεται έναρξη θεραπείας σε ασθενείς με κοινή ενεργό λοίμωξη, φυματίωση (ενεργό ή λανθάνουσα), ανοσοανεπάρκεια  ή προ-καρκινική κατάσταση.</w:t>
      </w:r>
    </w:p>
    <w:p w:rsidR="00163B51" w:rsidRPr="00D974AB" w:rsidRDefault="00163B51" w:rsidP="00C67E4A">
      <w:pPr>
        <w:ind w:firstLine="45"/>
        <w:jc w:val="both"/>
      </w:pPr>
    </w:p>
    <w:p w:rsidR="00163B51" w:rsidRPr="00FA0E6F" w:rsidRDefault="00163B51" w:rsidP="00C67E4A">
      <w:pPr>
        <w:pStyle w:val="ListParagraph"/>
        <w:numPr>
          <w:ilvl w:val="0"/>
          <w:numId w:val="41"/>
        </w:numPr>
        <w:jc w:val="both"/>
        <w:rPr>
          <w:lang w:val="el-GR"/>
        </w:rPr>
      </w:pPr>
      <w:r w:rsidRPr="00FA0E6F">
        <w:rPr>
          <w:lang w:val="el-GR"/>
        </w:rPr>
        <w:t>Σε κάθε επεισόδιο λοίμωξης πρέπει να αξιολογείται η πιθανότητα παροδικής διακοπής της θεραπείας έως ότου ελεγχθεί η λοίμωξη.</w:t>
      </w:r>
    </w:p>
    <w:p w:rsidR="00163B51" w:rsidRPr="00D974AB" w:rsidRDefault="00163B51" w:rsidP="00163B51">
      <w:pPr>
        <w:jc w:val="both"/>
      </w:pPr>
    </w:p>
    <w:p w:rsidR="00163B51" w:rsidRPr="00FA0E6F" w:rsidRDefault="00163B51" w:rsidP="00C67E4A">
      <w:pPr>
        <w:pStyle w:val="ListParagraph"/>
        <w:numPr>
          <w:ilvl w:val="0"/>
          <w:numId w:val="41"/>
        </w:numPr>
        <w:jc w:val="both"/>
        <w:rPr>
          <w:lang w:val="el-GR"/>
        </w:rPr>
      </w:pPr>
      <w:r w:rsidRPr="00FA0E6F">
        <w:rPr>
          <w:lang w:val="el-GR"/>
        </w:rPr>
        <w:t>Να γίνονται τακτικά  εργαστηριακές εξετάσεις για  την παρακολούθηση της  φυσιολογικής αιμοποίησης  (γενική αίματος), της ηπατικής και της νεφρικής λειτουργίας.</w:t>
      </w:r>
    </w:p>
    <w:p w:rsidR="00163B51" w:rsidRPr="00D974AB" w:rsidRDefault="00163B51" w:rsidP="00163B51">
      <w:pPr>
        <w:jc w:val="both"/>
      </w:pPr>
    </w:p>
    <w:p w:rsidR="00163B51" w:rsidRPr="00FA0E6F" w:rsidRDefault="00163B51" w:rsidP="00C67E4A">
      <w:pPr>
        <w:pStyle w:val="ListParagraph"/>
        <w:numPr>
          <w:ilvl w:val="0"/>
          <w:numId w:val="41"/>
        </w:numPr>
        <w:jc w:val="both"/>
        <w:rPr>
          <w:lang w:val="el-GR"/>
        </w:rPr>
      </w:pPr>
      <w:r w:rsidRPr="00FA0E6F">
        <w:rPr>
          <w:lang w:val="el-GR"/>
        </w:rPr>
        <w:t>Να αποφεύγονται εμβολιασμοί με εμβόλια που περιέχουν ζώντες εξασθενημένους μικροοργανισμούς  κατά τη διάρκεια της θεραπείας.</w:t>
      </w:r>
    </w:p>
    <w:p w:rsidR="00163B51" w:rsidRPr="00D974AB" w:rsidRDefault="00163B51" w:rsidP="00C67E4A">
      <w:pPr>
        <w:ind w:firstLine="45"/>
        <w:jc w:val="both"/>
      </w:pPr>
    </w:p>
    <w:p w:rsidR="00163B51" w:rsidRPr="00D974AB" w:rsidRDefault="00163B51" w:rsidP="00C67E4A">
      <w:pPr>
        <w:pStyle w:val="ListParagraph"/>
        <w:numPr>
          <w:ilvl w:val="0"/>
          <w:numId w:val="41"/>
        </w:numPr>
        <w:jc w:val="both"/>
      </w:pPr>
      <w:r w:rsidRPr="00FA0E6F">
        <w:rPr>
          <w:lang w:val="el-GR"/>
        </w:rPr>
        <w:t xml:space="preserve">Εμβολιασμοί με νεκρά εμβόλια μπορεί να διενεργηθούν. Υπάρχει βέβαια το ενδεχόμενο χαμηλότερης αντισωματικής απάντησης αλλά η διεθνής εμπειρία δείχνει, ότι συνήθως ο τίτλος εξακολουθεί να είναι προστατευτικός. </w:t>
      </w:r>
      <w:r w:rsidRPr="00D974AB">
        <w:t>Ο ετήσιος  αντιγριπικός εμβολιασμός δεν αντενδείκνυται, απεναντίας συστήνεται.</w:t>
      </w:r>
    </w:p>
    <w:p w:rsidR="00163B51" w:rsidRPr="00D974AB" w:rsidRDefault="00163B51" w:rsidP="00C67E4A">
      <w:pPr>
        <w:ind w:firstLine="45"/>
        <w:jc w:val="both"/>
      </w:pPr>
    </w:p>
    <w:p w:rsidR="00163B51" w:rsidRPr="00FA0E6F" w:rsidRDefault="00163B51" w:rsidP="00C67E4A">
      <w:pPr>
        <w:pStyle w:val="ListParagraph"/>
        <w:numPr>
          <w:ilvl w:val="0"/>
          <w:numId w:val="41"/>
        </w:numPr>
        <w:jc w:val="both"/>
        <w:rPr>
          <w:lang w:val="el-GR"/>
        </w:rPr>
      </w:pPr>
      <w:r w:rsidRPr="00FA0E6F">
        <w:rPr>
          <w:lang w:val="el-GR"/>
        </w:rPr>
        <w:t>Η συστηματική αναζήτηση ανεπιθύμητων ενεργειών απότοκων της ανοσοτροποποιητικής θεραπείας, συμπεριλαμβανομένων των νευρολογικών και νευροψυχιατρικών διαταραχών, καθώς και της εμφάνισης νέων αυτοάνοσων παθήσεων και νεοπλασιών, επιβάλλεται να γίνεται τακτικά.</w:t>
      </w:r>
    </w:p>
    <w:p w:rsidR="00163B51" w:rsidRPr="00D974AB" w:rsidRDefault="00163B51" w:rsidP="00163B51">
      <w:pPr>
        <w:jc w:val="both"/>
      </w:pPr>
    </w:p>
    <w:p w:rsidR="00163B51" w:rsidRPr="00D974AB" w:rsidRDefault="00163B51" w:rsidP="00163B51">
      <w:pPr>
        <w:jc w:val="both"/>
        <w:rPr>
          <w:b/>
          <w:i/>
        </w:rPr>
      </w:pPr>
      <w:r w:rsidRPr="00D974AB">
        <w:rPr>
          <w:b/>
          <w:i/>
        </w:rPr>
        <w:t>Συστάσεις για συγκεκριμένα φάρμακα</w:t>
      </w:r>
    </w:p>
    <w:p w:rsidR="00163B51" w:rsidRPr="00D974AB" w:rsidRDefault="00163B51" w:rsidP="00C67E4A">
      <w:pPr>
        <w:pStyle w:val="ListParagraph"/>
        <w:numPr>
          <w:ilvl w:val="0"/>
          <w:numId w:val="42"/>
        </w:numPr>
        <w:jc w:val="both"/>
      </w:pPr>
      <w:r w:rsidRPr="00D974AB">
        <w:t>Μεθοτρεξάτη</w:t>
      </w:r>
    </w:p>
    <w:p w:rsidR="00163B51" w:rsidRPr="00740C85" w:rsidRDefault="00163B51" w:rsidP="00740C85">
      <w:pPr>
        <w:ind w:left="709"/>
        <w:jc w:val="both"/>
      </w:pPr>
      <w:r w:rsidRPr="00740C85">
        <w:t>Χορήγηση φολλινικού οξέος 24-48 ώρες πριν ή μετά τη χορήγηση μεθοτρεξάτης  για τον περιορισμό των γαστρεντερικών και άλλων ανεπιθύμητων ενεργειών</w:t>
      </w:r>
    </w:p>
    <w:p w:rsidR="00163B51" w:rsidRPr="00740C85" w:rsidRDefault="00163B51" w:rsidP="00740C85">
      <w:pPr>
        <w:ind w:left="709"/>
        <w:jc w:val="both"/>
      </w:pPr>
      <w:r w:rsidRPr="00740C85">
        <w:t>Για τη βελτίωση της ανοχής και βιοδιαθεσιμότητας, προτείνεται η παρεντερική οδός όταν χορηγούνται  υψηλές δόσεις  μεθοτρεξάτης</w:t>
      </w:r>
    </w:p>
    <w:p w:rsidR="00163B51" w:rsidRPr="00740C85" w:rsidRDefault="00163B51" w:rsidP="00C67E4A">
      <w:pPr>
        <w:pStyle w:val="ListParagraph"/>
        <w:numPr>
          <w:ilvl w:val="0"/>
          <w:numId w:val="42"/>
        </w:numPr>
        <w:jc w:val="both"/>
        <w:rPr>
          <w:lang w:val="el-GR"/>
        </w:rPr>
      </w:pPr>
      <w:r w:rsidRPr="00740C85">
        <w:rPr>
          <w:lang w:val="el-GR"/>
        </w:rPr>
        <w:t>Λεφλουνομίδη και κυκλοσπορίνη: Τακτική μέτρηση της αρτηριακής πίεσης</w:t>
      </w:r>
    </w:p>
    <w:p w:rsidR="000129D8" w:rsidRDefault="00901D48" w:rsidP="00E5178F">
      <w:pPr>
        <w:rPr>
          <w:b/>
        </w:rPr>
      </w:pPr>
      <w:r>
        <w:rPr>
          <w:b/>
          <w:noProof/>
          <w:lang w:eastAsia="el-GR"/>
        </w:rPr>
        <w:pict>
          <v:shape id="_x0000_s1030" type="#_x0000_t32" style="position:absolute;margin-left:-6.3pt;margin-top:5pt;width:455.75pt;height:0;z-index:251662336" o:connectortype="straight"/>
        </w:pict>
      </w:r>
      <w:r w:rsidR="000129D8">
        <w:rPr>
          <w:b/>
        </w:rPr>
        <w:br w:type="page"/>
      </w:r>
    </w:p>
    <w:p w:rsidR="000129D8" w:rsidRPr="00D974AB" w:rsidRDefault="000129D8" w:rsidP="000129D8">
      <w:pPr>
        <w:jc w:val="both"/>
        <w:rPr>
          <w:vertAlign w:val="superscript"/>
        </w:rPr>
      </w:pPr>
      <w:r w:rsidRPr="00D974AB">
        <w:rPr>
          <w:b/>
        </w:rPr>
        <w:t>Πίνακας 1</w:t>
      </w:r>
      <w:r w:rsidR="000A2E25">
        <w:rPr>
          <w:b/>
        </w:rPr>
        <w:t>3</w:t>
      </w:r>
      <w:r w:rsidRPr="00D974AB">
        <w:rPr>
          <w:b/>
        </w:rPr>
        <w:t xml:space="preserve">. Συχνότητα οφθαλμολογικής εξέτασης σε παιδιά με </w:t>
      </w:r>
      <w:r w:rsidRPr="00D974AB">
        <w:rPr>
          <w:b/>
          <w:lang w:val="en-US"/>
        </w:rPr>
        <w:t>NIA</w:t>
      </w:r>
      <w:r w:rsidRPr="00D974AB">
        <w:rPr>
          <w:b/>
        </w:rPr>
        <w:t xml:space="preserve"> (οδηγίες της </w:t>
      </w:r>
      <w:r w:rsidRPr="00D974AB">
        <w:rPr>
          <w:b/>
          <w:lang w:val="en-US"/>
        </w:rPr>
        <w:t>American</w:t>
      </w:r>
      <w:r w:rsidRPr="00D974AB">
        <w:rPr>
          <w:b/>
        </w:rPr>
        <w:t xml:space="preserve"> </w:t>
      </w:r>
      <w:r w:rsidRPr="00D974AB">
        <w:rPr>
          <w:b/>
          <w:lang w:val="en-US"/>
        </w:rPr>
        <w:t>Academy</w:t>
      </w:r>
      <w:r w:rsidRPr="00D974AB">
        <w:rPr>
          <w:b/>
        </w:rPr>
        <w:t xml:space="preserve"> </w:t>
      </w:r>
      <w:r w:rsidRPr="00D974AB">
        <w:rPr>
          <w:b/>
          <w:lang w:val="en-US"/>
        </w:rPr>
        <w:t>of</w:t>
      </w:r>
      <w:r w:rsidRPr="00D974AB">
        <w:rPr>
          <w:b/>
        </w:rPr>
        <w:t xml:space="preserve"> </w:t>
      </w:r>
      <w:r w:rsidRPr="00D974AB">
        <w:rPr>
          <w:b/>
          <w:lang w:val="en-US"/>
        </w:rPr>
        <w:t>Pediatrics</w:t>
      </w:r>
      <w:r w:rsidRPr="00D974AB">
        <w:rPr>
          <w:b/>
        </w:rPr>
        <w:t xml:space="preserve">) </w:t>
      </w:r>
    </w:p>
    <w:p w:rsidR="000129D8" w:rsidRPr="00D974AB" w:rsidRDefault="000129D8" w:rsidP="000129D8">
      <w:pPr>
        <w:jc w:val="both"/>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802"/>
        <w:gridCol w:w="1417"/>
        <w:gridCol w:w="1701"/>
        <w:gridCol w:w="2410"/>
      </w:tblGrid>
      <w:tr w:rsidR="000129D8" w:rsidRPr="00D974AB" w:rsidTr="00B83441">
        <w:tc>
          <w:tcPr>
            <w:tcW w:w="2802" w:type="dxa"/>
            <w:tcBorders>
              <w:top w:val="single" w:sz="4" w:space="0" w:color="auto"/>
              <w:bottom w:val="single" w:sz="4" w:space="0" w:color="auto"/>
            </w:tcBorders>
          </w:tcPr>
          <w:p w:rsidR="000129D8" w:rsidRPr="00D974AB" w:rsidRDefault="000129D8" w:rsidP="004E5971">
            <w:pPr>
              <w:jc w:val="both"/>
              <w:rPr>
                <w:b/>
                <w:bCs/>
                <w:lang w:bidi="en-US"/>
              </w:rPr>
            </w:pPr>
            <w:r w:rsidRPr="00D974AB">
              <w:rPr>
                <w:b/>
                <w:bCs/>
                <w:lang w:bidi="en-US"/>
              </w:rPr>
              <w:t>Κατηγορία NIA</w:t>
            </w:r>
          </w:p>
        </w:tc>
        <w:tc>
          <w:tcPr>
            <w:tcW w:w="1417" w:type="dxa"/>
            <w:tcBorders>
              <w:top w:val="single" w:sz="4" w:space="0" w:color="auto"/>
              <w:bottom w:val="single" w:sz="4" w:space="0" w:color="auto"/>
            </w:tcBorders>
          </w:tcPr>
          <w:p w:rsidR="000129D8" w:rsidRPr="00D974AB" w:rsidRDefault="000129D8" w:rsidP="004E5971">
            <w:pPr>
              <w:jc w:val="both"/>
              <w:rPr>
                <w:b/>
                <w:bCs/>
                <w:lang w:bidi="en-US"/>
              </w:rPr>
            </w:pPr>
            <w:r w:rsidRPr="00D974AB">
              <w:rPr>
                <w:b/>
                <w:bCs/>
                <w:lang w:bidi="en-US"/>
              </w:rPr>
              <w:t>Ηλικία έναρξης</w:t>
            </w:r>
          </w:p>
        </w:tc>
        <w:tc>
          <w:tcPr>
            <w:tcW w:w="1701" w:type="dxa"/>
            <w:tcBorders>
              <w:top w:val="single" w:sz="4" w:space="0" w:color="auto"/>
              <w:bottom w:val="single" w:sz="4" w:space="0" w:color="auto"/>
            </w:tcBorders>
          </w:tcPr>
          <w:p w:rsidR="000129D8" w:rsidRPr="00D974AB" w:rsidRDefault="000129D8" w:rsidP="004E5971">
            <w:pPr>
              <w:jc w:val="both"/>
              <w:rPr>
                <w:b/>
                <w:bCs/>
                <w:lang w:bidi="en-US"/>
              </w:rPr>
            </w:pPr>
            <w:r w:rsidRPr="00D974AB">
              <w:rPr>
                <w:b/>
                <w:bCs/>
                <w:lang w:bidi="en-US"/>
              </w:rPr>
              <w:t>ΑΝΑ</w:t>
            </w:r>
          </w:p>
        </w:tc>
        <w:tc>
          <w:tcPr>
            <w:tcW w:w="2410" w:type="dxa"/>
            <w:tcBorders>
              <w:top w:val="single" w:sz="4" w:space="0" w:color="auto"/>
              <w:bottom w:val="single" w:sz="4" w:space="0" w:color="auto"/>
            </w:tcBorders>
          </w:tcPr>
          <w:p w:rsidR="000129D8" w:rsidRPr="00D974AB" w:rsidRDefault="000129D8" w:rsidP="004E5971">
            <w:pPr>
              <w:jc w:val="both"/>
              <w:rPr>
                <w:b/>
                <w:bCs/>
                <w:lang w:bidi="en-US"/>
              </w:rPr>
            </w:pPr>
            <w:r w:rsidRPr="00D974AB">
              <w:rPr>
                <w:b/>
                <w:bCs/>
                <w:lang w:bidi="en-US"/>
              </w:rPr>
              <w:t>Συχνότητα οφθαλμολογικής εξέτασης</w:t>
            </w:r>
          </w:p>
        </w:tc>
      </w:tr>
      <w:tr w:rsidR="000129D8" w:rsidRPr="00D974AB" w:rsidTr="00B83441">
        <w:tc>
          <w:tcPr>
            <w:tcW w:w="2802" w:type="dxa"/>
            <w:tcBorders>
              <w:top w:val="single" w:sz="4" w:space="0" w:color="auto"/>
            </w:tcBorders>
          </w:tcPr>
          <w:p w:rsidR="000129D8" w:rsidRPr="00F90BA4" w:rsidRDefault="000129D8" w:rsidP="007D37B2">
            <w:pPr>
              <w:rPr>
                <w:bCs/>
                <w:lang w:bidi="en-US"/>
              </w:rPr>
            </w:pPr>
            <w:r>
              <w:rPr>
                <w:bCs/>
                <w:lang w:bidi="en-US"/>
              </w:rPr>
              <w:t xml:space="preserve">Ολιγοαρθρική </w:t>
            </w:r>
            <w:r w:rsidRPr="00F90BA4">
              <w:rPr>
                <w:bCs/>
                <w:lang w:bidi="en-US"/>
              </w:rPr>
              <w:t>ή πολυαρθρική</w:t>
            </w:r>
          </w:p>
        </w:tc>
        <w:tc>
          <w:tcPr>
            <w:tcW w:w="1417" w:type="dxa"/>
            <w:tcBorders>
              <w:top w:val="single" w:sz="4" w:space="0" w:color="auto"/>
            </w:tcBorders>
          </w:tcPr>
          <w:p w:rsidR="000129D8" w:rsidRPr="00F90BA4" w:rsidRDefault="000129D8" w:rsidP="004E5971">
            <w:pPr>
              <w:jc w:val="both"/>
              <w:rPr>
                <w:bCs/>
                <w:lang w:bidi="en-US"/>
              </w:rPr>
            </w:pPr>
            <w:r w:rsidRPr="00F90BA4">
              <w:rPr>
                <w:bCs/>
                <w:lang w:bidi="en-US"/>
              </w:rPr>
              <w:t>&lt;6έτη</w:t>
            </w:r>
          </w:p>
          <w:p w:rsidR="000129D8" w:rsidRPr="00F90BA4" w:rsidRDefault="000129D8" w:rsidP="004E5971">
            <w:pPr>
              <w:jc w:val="both"/>
              <w:rPr>
                <w:bCs/>
                <w:lang w:bidi="en-US"/>
              </w:rPr>
            </w:pPr>
          </w:p>
        </w:tc>
        <w:tc>
          <w:tcPr>
            <w:tcW w:w="1701" w:type="dxa"/>
            <w:tcBorders>
              <w:top w:val="single" w:sz="4" w:space="0" w:color="auto"/>
            </w:tcBorders>
          </w:tcPr>
          <w:p w:rsidR="000129D8" w:rsidRPr="00F90BA4" w:rsidRDefault="000129D8" w:rsidP="004E5971">
            <w:pPr>
              <w:jc w:val="both"/>
              <w:rPr>
                <w:bCs/>
                <w:lang w:bidi="en-US"/>
              </w:rPr>
            </w:pPr>
            <w:r w:rsidRPr="00F90BA4">
              <w:rPr>
                <w:bCs/>
                <w:lang w:bidi="en-US"/>
              </w:rPr>
              <w:t>θετικά</w:t>
            </w:r>
          </w:p>
          <w:p w:rsidR="000129D8" w:rsidRPr="00F90BA4" w:rsidRDefault="000129D8" w:rsidP="004E5971">
            <w:pPr>
              <w:jc w:val="both"/>
              <w:rPr>
                <w:bCs/>
                <w:lang w:bidi="en-US"/>
              </w:rPr>
            </w:pPr>
          </w:p>
        </w:tc>
        <w:tc>
          <w:tcPr>
            <w:tcW w:w="2410" w:type="dxa"/>
            <w:tcBorders>
              <w:top w:val="single" w:sz="4" w:space="0" w:color="auto"/>
            </w:tcBorders>
            <w:vAlign w:val="center"/>
          </w:tcPr>
          <w:p w:rsidR="000129D8" w:rsidRPr="00F90BA4" w:rsidRDefault="000129D8" w:rsidP="004E5971">
            <w:pPr>
              <w:jc w:val="both"/>
              <w:rPr>
                <w:bCs/>
                <w:lang w:bidi="en-US"/>
              </w:rPr>
            </w:pPr>
            <w:r w:rsidRPr="00F90BA4">
              <w:rPr>
                <w:bCs/>
                <w:lang w:bidi="en-US"/>
              </w:rPr>
              <w:t>Ανά 3-4μηνο</w:t>
            </w:r>
          </w:p>
          <w:p w:rsidR="000129D8" w:rsidRPr="00F90BA4" w:rsidRDefault="000129D8" w:rsidP="004E5971">
            <w:pPr>
              <w:jc w:val="both"/>
              <w:rPr>
                <w:bCs/>
                <w:lang w:bidi="en-US"/>
              </w:rPr>
            </w:pPr>
          </w:p>
        </w:tc>
      </w:tr>
      <w:tr w:rsidR="000129D8" w:rsidRPr="00D974AB" w:rsidTr="00B83441">
        <w:tc>
          <w:tcPr>
            <w:tcW w:w="2802" w:type="dxa"/>
          </w:tcPr>
          <w:p w:rsidR="000129D8" w:rsidRPr="00F90BA4" w:rsidRDefault="000129D8" w:rsidP="007D37B2">
            <w:pPr>
              <w:rPr>
                <w:bCs/>
                <w:lang w:bidi="en-US"/>
              </w:rPr>
            </w:pPr>
            <w:r w:rsidRPr="00F90BA4">
              <w:rPr>
                <w:bCs/>
                <w:lang w:bidi="en-US"/>
              </w:rPr>
              <w:t>Ολιγοαρθρική  ή               πολυαρθρική</w:t>
            </w:r>
          </w:p>
        </w:tc>
        <w:tc>
          <w:tcPr>
            <w:tcW w:w="1417" w:type="dxa"/>
          </w:tcPr>
          <w:p w:rsidR="000129D8" w:rsidRPr="00F90BA4" w:rsidRDefault="000129D8" w:rsidP="004E5971">
            <w:pPr>
              <w:jc w:val="both"/>
              <w:rPr>
                <w:bCs/>
                <w:lang w:bidi="en-US"/>
              </w:rPr>
            </w:pPr>
            <w:r w:rsidRPr="00F90BA4">
              <w:rPr>
                <w:bCs/>
                <w:lang w:bidi="en-US"/>
              </w:rPr>
              <w:t>ανεξάρτητα</w:t>
            </w:r>
          </w:p>
          <w:p w:rsidR="000129D8" w:rsidRPr="00F90BA4" w:rsidRDefault="000129D8" w:rsidP="004E5971">
            <w:pPr>
              <w:jc w:val="both"/>
              <w:rPr>
                <w:bCs/>
                <w:lang w:bidi="en-US"/>
              </w:rPr>
            </w:pPr>
          </w:p>
        </w:tc>
        <w:tc>
          <w:tcPr>
            <w:tcW w:w="1701" w:type="dxa"/>
          </w:tcPr>
          <w:p w:rsidR="000129D8" w:rsidRPr="00F90BA4" w:rsidRDefault="000129D8" w:rsidP="004E5971">
            <w:pPr>
              <w:jc w:val="both"/>
              <w:rPr>
                <w:bCs/>
                <w:lang w:bidi="en-US"/>
              </w:rPr>
            </w:pPr>
            <w:r w:rsidRPr="00F90BA4">
              <w:rPr>
                <w:bCs/>
                <w:lang w:bidi="en-US"/>
              </w:rPr>
              <w:t>Αρνητικά</w:t>
            </w:r>
          </w:p>
          <w:p w:rsidR="000129D8" w:rsidRPr="00F90BA4" w:rsidRDefault="000129D8" w:rsidP="004E5971">
            <w:pPr>
              <w:jc w:val="both"/>
              <w:rPr>
                <w:bCs/>
                <w:lang w:bidi="en-US"/>
              </w:rPr>
            </w:pPr>
          </w:p>
        </w:tc>
        <w:tc>
          <w:tcPr>
            <w:tcW w:w="2410" w:type="dxa"/>
          </w:tcPr>
          <w:p w:rsidR="000129D8" w:rsidRPr="00F90BA4" w:rsidRDefault="000129D8" w:rsidP="004E5971">
            <w:pPr>
              <w:jc w:val="both"/>
              <w:rPr>
                <w:bCs/>
                <w:lang w:bidi="en-US"/>
              </w:rPr>
            </w:pPr>
            <w:r w:rsidRPr="00F90BA4">
              <w:rPr>
                <w:bCs/>
                <w:lang w:bidi="en-US"/>
              </w:rPr>
              <w:t>Ανά 6μηνο</w:t>
            </w:r>
          </w:p>
          <w:p w:rsidR="000129D8" w:rsidRPr="00F90BA4" w:rsidRDefault="000129D8" w:rsidP="004E5971">
            <w:pPr>
              <w:jc w:val="both"/>
              <w:rPr>
                <w:bCs/>
                <w:lang w:bidi="en-US"/>
              </w:rPr>
            </w:pPr>
          </w:p>
        </w:tc>
      </w:tr>
      <w:tr w:rsidR="000129D8" w:rsidRPr="00D974AB" w:rsidTr="00B83441">
        <w:tc>
          <w:tcPr>
            <w:tcW w:w="2802" w:type="dxa"/>
          </w:tcPr>
          <w:p w:rsidR="000129D8" w:rsidRPr="00F90BA4" w:rsidRDefault="000129D8" w:rsidP="007D37B2">
            <w:pPr>
              <w:rPr>
                <w:bCs/>
                <w:lang w:bidi="en-US"/>
              </w:rPr>
            </w:pPr>
            <w:r w:rsidRPr="00F90BA4">
              <w:rPr>
                <w:bCs/>
                <w:lang w:bidi="en-US"/>
              </w:rPr>
              <w:t>Ολιγοαρθρική ή              πολυαρθρική</w:t>
            </w:r>
          </w:p>
        </w:tc>
        <w:tc>
          <w:tcPr>
            <w:tcW w:w="1417" w:type="dxa"/>
          </w:tcPr>
          <w:p w:rsidR="000129D8" w:rsidRPr="00F90BA4" w:rsidRDefault="000129D8" w:rsidP="004E5971">
            <w:pPr>
              <w:jc w:val="both"/>
              <w:rPr>
                <w:bCs/>
                <w:lang w:bidi="en-US"/>
              </w:rPr>
            </w:pPr>
            <w:r w:rsidRPr="00F90BA4">
              <w:rPr>
                <w:bCs/>
                <w:lang w:bidi="en-US"/>
              </w:rPr>
              <w:t>&gt;7έτη</w:t>
            </w:r>
          </w:p>
        </w:tc>
        <w:tc>
          <w:tcPr>
            <w:tcW w:w="1701" w:type="dxa"/>
          </w:tcPr>
          <w:p w:rsidR="000129D8" w:rsidRPr="00F90BA4" w:rsidRDefault="000129D8" w:rsidP="004E5971">
            <w:pPr>
              <w:jc w:val="both"/>
              <w:rPr>
                <w:bCs/>
                <w:lang w:bidi="en-US"/>
              </w:rPr>
            </w:pPr>
            <w:r w:rsidRPr="00F90BA4">
              <w:rPr>
                <w:bCs/>
                <w:lang w:bidi="en-US"/>
              </w:rPr>
              <w:t>ανεξάρτητα</w:t>
            </w:r>
          </w:p>
        </w:tc>
        <w:tc>
          <w:tcPr>
            <w:tcW w:w="2410" w:type="dxa"/>
          </w:tcPr>
          <w:p w:rsidR="000129D8" w:rsidRPr="00F90BA4" w:rsidRDefault="000129D8" w:rsidP="004E5971">
            <w:pPr>
              <w:jc w:val="both"/>
              <w:rPr>
                <w:bCs/>
                <w:lang w:bidi="en-US"/>
              </w:rPr>
            </w:pPr>
            <w:r w:rsidRPr="00F90BA4">
              <w:rPr>
                <w:bCs/>
                <w:lang w:bidi="en-US"/>
              </w:rPr>
              <w:t>Ανά 6μηνο</w:t>
            </w:r>
          </w:p>
        </w:tc>
      </w:tr>
      <w:tr w:rsidR="000129D8" w:rsidRPr="00D974AB" w:rsidTr="00B83441">
        <w:tc>
          <w:tcPr>
            <w:tcW w:w="2802" w:type="dxa"/>
          </w:tcPr>
          <w:p w:rsidR="000129D8" w:rsidRPr="00F90BA4" w:rsidRDefault="000129D8" w:rsidP="004E5971">
            <w:pPr>
              <w:jc w:val="both"/>
              <w:rPr>
                <w:bCs/>
                <w:lang w:bidi="en-US"/>
              </w:rPr>
            </w:pPr>
            <w:r w:rsidRPr="00F90BA4">
              <w:rPr>
                <w:bCs/>
                <w:lang w:bidi="en-US"/>
              </w:rPr>
              <w:t>Συστηματική</w:t>
            </w:r>
          </w:p>
        </w:tc>
        <w:tc>
          <w:tcPr>
            <w:tcW w:w="1417" w:type="dxa"/>
          </w:tcPr>
          <w:p w:rsidR="000129D8" w:rsidRPr="00F90BA4" w:rsidRDefault="000129D8" w:rsidP="004E5971">
            <w:pPr>
              <w:jc w:val="both"/>
              <w:rPr>
                <w:bCs/>
                <w:lang w:bidi="en-US"/>
              </w:rPr>
            </w:pPr>
            <w:r w:rsidRPr="00F90BA4">
              <w:rPr>
                <w:bCs/>
                <w:lang w:bidi="en-US"/>
              </w:rPr>
              <w:t>ανεξάρτητα</w:t>
            </w:r>
          </w:p>
        </w:tc>
        <w:tc>
          <w:tcPr>
            <w:tcW w:w="1701" w:type="dxa"/>
          </w:tcPr>
          <w:p w:rsidR="000129D8" w:rsidRPr="00F90BA4" w:rsidRDefault="000129D8" w:rsidP="004E5971">
            <w:pPr>
              <w:jc w:val="both"/>
              <w:rPr>
                <w:bCs/>
                <w:lang w:bidi="en-US"/>
              </w:rPr>
            </w:pPr>
            <w:r w:rsidRPr="00F90BA4">
              <w:rPr>
                <w:bCs/>
                <w:lang w:bidi="en-US"/>
              </w:rPr>
              <w:t>ανεξάρτητα</w:t>
            </w:r>
          </w:p>
        </w:tc>
        <w:tc>
          <w:tcPr>
            <w:tcW w:w="2410" w:type="dxa"/>
          </w:tcPr>
          <w:p w:rsidR="000129D8" w:rsidRPr="00F90BA4" w:rsidRDefault="000129D8" w:rsidP="004E5971">
            <w:pPr>
              <w:jc w:val="both"/>
              <w:rPr>
                <w:bCs/>
                <w:lang w:bidi="en-US"/>
              </w:rPr>
            </w:pPr>
            <w:r w:rsidRPr="00F90BA4">
              <w:rPr>
                <w:bCs/>
                <w:lang w:bidi="en-US"/>
              </w:rPr>
              <w:t>Ανά 12μηνο</w:t>
            </w:r>
          </w:p>
        </w:tc>
      </w:tr>
    </w:tbl>
    <w:p w:rsidR="000129D8" w:rsidRPr="002C4C2B" w:rsidRDefault="000129D8" w:rsidP="000129D8">
      <w:pPr>
        <w:jc w:val="both"/>
        <w:rPr>
          <w:b/>
        </w:rPr>
      </w:pPr>
    </w:p>
    <w:p w:rsidR="00163B51" w:rsidRPr="0003174F" w:rsidRDefault="00163B51" w:rsidP="00A067A2">
      <w:pPr>
        <w:jc w:val="both"/>
        <w:rPr>
          <w:b/>
        </w:rPr>
      </w:pPr>
    </w:p>
    <w:sectPr w:rsidR="00163B51" w:rsidRPr="0003174F" w:rsidSect="007809C8">
      <w:footerReference w:type="defaul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48" w:rsidRDefault="00901D48" w:rsidP="00BB41D6">
      <w:pPr>
        <w:spacing w:line="240" w:lineRule="auto"/>
      </w:pPr>
      <w:r>
        <w:separator/>
      </w:r>
    </w:p>
  </w:endnote>
  <w:endnote w:type="continuationSeparator" w:id="0">
    <w:p w:rsidR="00901D48" w:rsidRDefault="00901D48" w:rsidP="00BB4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no Pro Light Display">
    <w:altName w:val="Times New Roman"/>
    <w:panose1 w:val="00000000000000000000"/>
    <w:charset w:val="00"/>
    <w:family w:val="roman"/>
    <w:notTrueType/>
    <w:pitch w:val="default"/>
    <w:sig w:usb0="00000003" w:usb1="00000000" w:usb2="00000000" w:usb3="00000000" w:csb0="00000001" w:csb1="00000000"/>
  </w:font>
  <w:font w:name="Arno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Melior">
    <w:panose1 w:val="00000000000000000000"/>
    <w:charset w:val="A1"/>
    <w:family w:val="auto"/>
    <w:notTrueType/>
    <w:pitch w:val="default"/>
    <w:sig w:usb0="00000081" w:usb1="00000000" w:usb2="00000000" w:usb3="00000000" w:csb0="00000008" w:csb1="00000000"/>
  </w:font>
  <w:font w:name="Dutch801BT-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59393"/>
      <w:docPartObj>
        <w:docPartGallery w:val="Page Numbers (Bottom of Page)"/>
        <w:docPartUnique/>
      </w:docPartObj>
    </w:sdtPr>
    <w:sdtEndPr>
      <w:rPr>
        <w:noProof/>
      </w:rPr>
    </w:sdtEndPr>
    <w:sdtContent>
      <w:p w:rsidR="00BB41D6" w:rsidRDefault="00BB41D6">
        <w:pPr>
          <w:pStyle w:val="Footer"/>
          <w:jc w:val="right"/>
        </w:pPr>
        <w:r>
          <w:fldChar w:fldCharType="begin"/>
        </w:r>
        <w:r>
          <w:instrText xml:space="preserve"> PAGE   \* MERGEFORMAT </w:instrText>
        </w:r>
        <w:r>
          <w:fldChar w:fldCharType="separate"/>
        </w:r>
        <w:r w:rsidR="00901D48">
          <w:rPr>
            <w:noProof/>
          </w:rPr>
          <w:t>1</w:t>
        </w:r>
        <w:r>
          <w:rPr>
            <w:noProof/>
          </w:rPr>
          <w:fldChar w:fldCharType="end"/>
        </w:r>
      </w:p>
    </w:sdtContent>
  </w:sdt>
  <w:p w:rsidR="00BB41D6" w:rsidRDefault="00BB4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48" w:rsidRDefault="00901D48" w:rsidP="00BB41D6">
      <w:pPr>
        <w:spacing w:line="240" w:lineRule="auto"/>
      </w:pPr>
      <w:r>
        <w:separator/>
      </w:r>
    </w:p>
  </w:footnote>
  <w:footnote w:type="continuationSeparator" w:id="0">
    <w:p w:rsidR="00901D48" w:rsidRDefault="00901D48" w:rsidP="00BB41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17"/>
    <w:multiLevelType w:val="hybridMultilevel"/>
    <w:tmpl w:val="AE383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F07EF3"/>
    <w:multiLevelType w:val="hybridMultilevel"/>
    <w:tmpl w:val="2C865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5C5368"/>
    <w:multiLevelType w:val="hybridMultilevel"/>
    <w:tmpl w:val="0CB83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151A3D"/>
    <w:multiLevelType w:val="hybridMultilevel"/>
    <w:tmpl w:val="A0CAF77C"/>
    <w:lvl w:ilvl="0" w:tplc="E2F2E10C">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BE0172D"/>
    <w:multiLevelType w:val="hybridMultilevel"/>
    <w:tmpl w:val="B442F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A72B5A"/>
    <w:multiLevelType w:val="hybridMultilevel"/>
    <w:tmpl w:val="090EA53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0911F9A"/>
    <w:multiLevelType w:val="hybridMultilevel"/>
    <w:tmpl w:val="0C185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A9114C"/>
    <w:multiLevelType w:val="hybridMultilevel"/>
    <w:tmpl w:val="165C2608"/>
    <w:lvl w:ilvl="0" w:tplc="6EEE3B6C">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322130"/>
    <w:multiLevelType w:val="hybridMultilevel"/>
    <w:tmpl w:val="412480FC"/>
    <w:lvl w:ilvl="0" w:tplc="B4C0BDD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CB42D9"/>
    <w:multiLevelType w:val="hybridMultilevel"/>
    <w:tmpl w:val="02246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BB0A52"/>
    <w:multiLevelType w:val="hybridMultilevel"/>
    <w:tmpl w:val="EC948ADA"/>
    <w:lvl w:ilvl="0" w:tplc="04080001">
      <w:start w:val="1"/>
      <w:numFmt w:val="bullet"/>
      <w:lvlText w:val=""/>
      <w:lvlJc w:val="left"/>
      <w:pPr>
        <w:ind w:left="720" w:hanging="360"/>
      </w:pPr>
      <w:rPr>
        <w:rFonts w:ascii="Symbol" w:hAnsi="Symbol" w:hint="default"/>
      </w:rPr>
    </w:lvl>
    <w:lvl w:ilvl="1" w:tplc="53B261FC">
      <w:numFmt w:val="bullet"/>
      <w:lvlText w:val="-"/>
      <w:lvlJc w:val="left"/>
      <w:pPr>
        <w:ind w:left="1440" w:hanging="360"/>
      </w:pPr>
      <w:rPr>
        <w:rFonts w:ascii="Calibri" w:eastAsiaTheme="minorEastAsia"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7DA0623"/>
    <w:multiLevelType w:val="hybridMultilevel"/>
    <w:tmpl w:val="D5F6DEDC"/>
    <w:lvl w:ilvl="0" w:tplc="37146C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F97640"/>
    <w:multiLevelType w:val="hybridMultilevel"/>
    <w:tmpl w:val="6D5AB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65EFF"/>
    <w:multiLevelType w:val="hybridMultilevel"/>
    <w:tmpl w:val="43E2AE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9276CC"/>
    <w:multiLevelType w:val="hybridMultilevel"/>
    <w:tmpl w:val="B4327BBA"/>
    <w:lvl w:ilvl="0" w:tplc="222C43F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11420"/>
    <w:multiLevelType w:val="hybridMultilevel"/>
    <w:tmpl w:val="08F63A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4531F2F"/>
    <w:multiLevelType w:val="hybridMultilevel"/>
    <w:tmpl w:val="FDBA8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CE6765"/>
    <w:multiLevelType w:val="hybridMultilevel"/>
    <w:tmpl w:val="C5445B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4B39A5"/>
    <w:multiLevelType w:val="hybridMultilevel"/>
    <w:tmpl w:val="55028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5227C97"/>
    <w:multiLevelType w:val="hybridMultilevel"/>
    <w:tmpl w:val="DDF23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D00DD0"/>
    <w:multiLevelType w:val="hybridMultilevel"/>
    <w:tmpl w:val="6BEC9A04"/>
    <w:lvl w:ilvl="0" w:tplc="0408000F">
      <w:start w:val="1"/>
      <w:numFmt w:val="decimal"/>
      <w:lvlText w:val="%1."/>
      <w:lvlJc w:val="left"/>
      <w:pPr>
        <w:ind w:left="9433"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F94DC6"/>
    <w:multiLevelType w:val="hybridMultilevel"/>
    <w:tmpl w:val="C478C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81813"/>
    <w:multiLevelType w:val="hybridMultilevel"/>
    <w:tmpl w:val="72187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7B63050"/>
    <w:multiLevelType w:val="hybridMultilevel"/>
    <w:tmpl w:val="6B32CB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855A11"/>
    <w:multiLevelType w:val="hybridMultilevel"/>
    <w:tmpl w:val="EFA06A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F46808"/>
    <w:multiLevelType w:val="hybridMultilevel"/>
    <w:tmpl w:val="48A0A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BE25AF"/>
    <w:multiLevelType w:val="hybridMultilevel"/>
    <w:tmpl w:val="ECD08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AD7940"/>
    <w:multiLevelType w:val="hybridMultilevel"/>
    <w:tmpl w:val="CE763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E21CD4"/>
    <w:multiLevelType w:val="hybridMultilevel"/>
    <w:tmpl w:val="380809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F011EA"/>
    <w:multiLevelType w:val="hybridMultilevel"/>
    <w:tmpl w:val="CFC8B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E80E06"/>
    <w:multiLevelType w:val="hybridMultilevel"/>
    <w:tmpl w:val="80A23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694244"/>
    <w:multiLevelType w:val="hybridMultilevel"/>
    <w:tmpl w:val="C0BCA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8E6ECA"/>
    <w:multiLevelType w:val="hybridMultilevel"/>
    <w:tmpl w:val="86923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F97D05"/>
    <w:multiLevelType w:val="hybridMultilevel"/>
    <w:tmpl w:val="B2AC1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0F41C64"/>
    <w:multiLevelType w:val="hybridMultilevel"/>
    <w:tmpl w:val="78B2C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4A6144"/>
    <w:multiLevelType w:val="hybridMultilevel"/>
    <w:tmpl w:val="753C1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8518EF"/>
    <w:multiLevelType w:val="hybridMultilevel"/>
    <w:tmpl w:val="751058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38E5231"/>
    <w:multiLevelType w:val="hybridMultilevel"/>
    <w:tmpl w:val="FE801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FB3ADB"/>
    <w:multiLevelType w:val="hybridMultilevel"/>
    <w:tmpl w:val="549EA52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9F45473"/>
    <w:multiLevelType w:val="hybridMultilevel"/>
    <w:tmpl w:val="ADBA48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A432B0B"/>
    <w:multiLevelType w:val="hybridMultilevel"/>
    <w:tmpl w:val="1F6CF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BBB1629"/>
    <w:multiLevelType w:val="hybridMultilevel"/>
    <w:tmpl w:val="ECD08D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3"/>
  </w:num>
  <w:num w:numId="3">
    <w:abstractNumId w:val="38"/>
  </w:num>
  <w:num w:numId="4">
    <w:abstractNumId w:val="39"/>
  </w:num>
  <w:num w:numId="5">
    <w:abstractNumId w:val="5"/>
  </w:num>
  <w:num w:numId="6">
    <w:abstractNumId w:val="25"/>
  </w:num>
  <w:num w:numId="7">
    <w:abstractNumId w:val="3"/>
  </w:num>
  <w:num w:numId="8">
    <w:abstractNumId w:val="41"/>
  </w:num>
  <w:num w:numId="9">
    <w:abstractNumId w:val="11"/>
  </w:num>
  <w:num w:numId="10">
    <w:abstractNumId w:val="24"/>
  </w:num>
  <w:num w:numId="11">
    <w:abstractNumId w:val="4"/>
  </w:num>
  <w:num w:numId="12">
    <w:abstractNumId w:val="18"/>
  </w:num>
  <w:num w:numId="13">
    <w:abstractNumId w:val="30"/>
  </w:num>
  <w:num w:numId="14">
    <w:abstractNumId w:val="10"/>
  </w:num>
  <w:num w:numId="15">
    <w:abstractNumId w:val="22"/>
  </w:num>
  <w:num w:numId="16">
    <w:abstractNumId w:val="1"/>
  </w:num>
  <w:num w:numId="17">
    <w:abstractNumId w:val="17"/>
  </w:num>
  <w:num w:numId="18">
    <w:abstractNumId w:val="13"/>
  </w:num>
  <w:num w:numId="19">
    <w:abstractNumId w:val="20"/>
  </w:num>
  <w:num w:numId="20">
    <w:abstractNumId w:val="8"/>
  </w:num>
  <w:num w:numId="21">
    <w:abstractNumId w:val="0"/>
  </w:num>
  <w:num w:numId="22">
    <w:abstractNumId w:val="29"/>
  </w:num>
  <w:num w:numId="23">
    <w:abstractNumId w:val="28"/>
  </w:num>
  <w:num w:numId="24">
    <w:abstractNumId w:val="36"/>
  </w:num>
  <w:num w:numId="25">
    <w:abstractNumId w:val="12"/>
  </w:num>
  <w:num w:numId="26">
    <w:abstractNumId w:val="27"/>
  </w:num>
  <w:num w:numId="27">
    <w:abstractNumId w:val="35"/>
  </w:num>
  <w:num w:numId="28">
    <w:abstractNumId w:val="23"/>
  </w:num>
  <w:num w:numId="29">
    <w:abstractNumId w:val="40"/>
  </w:num>
  <w:num w:numId="30">
    <w:abstractNumId w:val="6"/>
  </w:num>
  <w:num w:numId="31">
    <w:abstractNumId w:val="31"/>
  </w:num>
  <w:num w:numId="32">
    <w:abstractNumId w:val="19"/>
  </w:num>
  <w:num w:numId="33">
    <w:abstractNumId w:val="9"/>
  </w:num>
  <w:num w:numId="34">
    <w:abstractNumId w:val="2"/>
  </w:num>
  <w:num w:numId="35">
    <w:abstractNumId w:val="26"/>
  </w:num>
  <w:num w:numId="36">
    <w:abstractNumId w:val="7"/>
  </w:num>
  <w:num w:numId="37">
    <w:abstractNumId w:val="34"/>
  </w:num>
  <w:num w:numId="38">
    <w:abstractNumId w:val="14"/>
  </w:num>
  <w:num w:numId="39">
    <w:abstractNumId w:val="32"/>
  </w:num>
  <w:num w:numId="40">
    <w:abstractNumId w:val="37"/>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974AB"/>
    <w:rsid w:val="000113FE"/>
    <w:rsid w:val="00012753"/>
    <w:rsid w:val="000129D8"/>
    <w:rsid w:val="00025BBA"/>
    <w:rsid w:val="000307DD"/>
    <w:rsid w:val="0003174F"/>
    <w:rsid w:val="00032BF3"/>
    <w:rsid w:val="00037A43"/>
    <w:rsid w:val="0004408B"/>
    <w:rsid w:val="00054CBB"/>
    <w:rsid w:val="00074AF6"/>
    <w:rsid w:val="000A2E25"/>
    <w:rsid w:val="000A397E"/>
    <w:rsid w:val="000E0D8D"/>
    <w:rsid w:val="000E59C5"/>
    <w:rsid w:val="000F0610"/>
    <w:rsid w:val="000F62BC"/>
    <w:rsid w:val="00103F7B"/>
    <w:rsid w:val="001125D0"/>
    <w:rsid w:val="0012764A"/>
    <w:rsid w:val="00153A7D"/>
    <w:rsid w:val="00163B51"/>
    <w:rsid w:val="001671B8"/>
    <w:rsid w:val="00184AFE"/>
    <w:rsid w:val="001A1911"/>
    <w:rsid w:val="001A28AD"/>
    <w:rsid w:val="001F7D08"/>
    <w:rsid w:val="0021617C"/>
    <w:rsid w:val="00231469"/>
    <w:rsid w:val="002356EC"/>
    <w:rsid w:val="00252D6F"/>
    <w:rsid w:val="00276D0E"/>
    <w:rsid w:val="002876B3"/>
    <w:rsid w:val="00294548"/>
    <w:rsid w:val="00297880"/>
    <w:rsid w:val="002C4C2B"/>
    <w:rsid w:val="002F5F39"/>
    <w:rsid w:val="003460E4"/>
    <w:rsid w:val="003519F1"/>
    <w:rsid w:val="00361CC5"/>
    <w:rsid w:val="00364D36"/>
    <w:rsid w:val="003818B5"/>
    <w:rsid w:val="00387EFD"/>
    <w:rsid w:val="003B23DC"/>
    <w:rsid w:val="003B7F4A"/>
    <w:rsid w:val="003C3BFE"/>
    <w:rsid w:val="00416329"/>
    <w:rsid w:val="00430295"/>
    <w:rsid w:val="0044221B"/>
    <w:rsid w:val="0046717E"/>
    <w:rsid w:val="00473742"/>
    <w:rsid w:val="004A2B73"/>
    <w:rsid w:val="004A47CC"/>
    <w:rsid w:val="004E2F3D"/>
    <w:rsid w:val="004E46E5"/>
    <w:rsid w:val="004E5971"/>
    <w:rsid w:val="004E5F8F"/>
    <w:rsid w:val="004F68CA"/>
    <w:rsid w:val="00507884"/>
    <w:rsid w:val="0053659E"/>
    <w:rsid w:val="00545E67"/>
    <w:rsid w:val="0055482D"/>
    <w:rsid w:val="00555DDC"/>
    <w:rsid w:val="00596088"/>
    <w:rsid w:val="005B6273"/>
    <w:rsid w:val="005C0575"/>
    <w:rsid w:val="005D5A58"/>
    <w:rsid w:val="005E6155"/>
    <w:rsid w:val="00617877"/>
    <w:rsid w:val="00632414"/>
    <w:rsid w:val="00632B8B"/>
    <w:rsid w:val="00650FC3"/>
    <w:rsid w:val="00651DF6"/>
    <w:rsid w:val="00670E71"/>
    <w:rsid w:val="00686D31"/>
    <w:rsid w:val="006A026B"/>
    <w:rsid w:val="006A630A"/>
    <w:rsid w:val="006B1EE4"/>
    <w:rsid w:val="006E27D5"/>
    <w:rsid w:val="00727345"/>
    <w:rsid w:val="0074033E"/>
    <w:rsid w:val="00740C85"/>
    <w:rsid w:val="00740C88"/>
    <w:rsid w:val="00744195"/>
    <w:rsid w:val="00777D61"/>
    <w:rsid w:val="007809C8"/>
    <w:rsid w:val="007A41F9"/>
    <w:rsid w:val="007B07DB"/>
    <w:rsid w:val="007C1A3D"/>
    <w:rsid w:val="007D37B2"/>
    <w:rsid w:val="008019DA"/>
    <w:rsid w:val="00830FA4"/>
    <w:rsid w:val="0083153E"/>
    <w:rsid w:val="008353F8"/>
    <w:rsid w:val="008372E0"/>
    <w:rsid w:val="00840F13"/>
    <w:rsid w:val="008417A0"/>
    <w:rsid w:val="00880428"/>
    <w:rsid w:val="00885171"/>
    <w:rsid w:val="00891465"/>
    <w:rsid w:val="00901D48"/>
    <w:rsid w:val="009062FD"/>
    <w:rsid w:val="00942EFB"/>
    <w:rsid w:val="0095164B"/>
    <w:rsid w:val="00980EB7"/>
    <w:rsid w:val="00996025"/>
    <w:rsid w:val="009A6D66"/>
    <w:rsid w:val="009C43EA"/>
    <w:rsid w:val="009E67F9"/>
    <w:rsid w:val="00A0548A"/>
    <w:rsid w:val="00A067A2"/>
    <w:rsid w:val="00A117AE"/>
    <w:rsid w:val="00A269A5"/>
    <w:rsid w:val="00A452A6"/>
    <w:rsid w:val="00AB3200"/>
    <w:rsid w:val="00AC44F7"/>
    <w:rsid w:val="00AD4FAB"/>
    <w:rsid w:val="00AE2865"/>
    <w:rsid w:val="00AE7308"/>
    <w:rsid w:val="00AE7BF5"/>
    <w:rsid w:val="00B119D2"/>
    <w:rsid w:val="00B14036"/>
    <w:rsid w:val="00B32F5E"/>
    <w:rsid w:val="00B573EE"/>
    <w:rsid w:val="00B62FC1"/>
    <w:rsid w:val="00B70081"/>
    <w:rsid w:val="00B74241"/>
    <w:rsid w:val="00B7645D"/>
    <w:rsid w:val="00B801FA"/>
    <w:rsid w:val="00B83441"/>
    <w:rsid w:val="00BA70B1"/>
    <w:rsid w:val="00BB41D6"/>
    <w:rsid w:val="00BC571C"/>
    <w:rsid w:val="00BF1E5C"/>
    <w:rsid w:val="00BF1F76"/>
    <w:rsid w:val="00BF5848"/>
    <w:rsid w:val="00C14AC2"/>
    <w:rsid w:val="00C27AAB"/>
    <w:rsid w:val="00C420D2"/>
    <w:rsid w:val="00C67E4A"/>
    <w:rsid w:val="00C82537"/>
    <w:rsid w:val="00CC2E4E"/>
    <w:rsid w:val="00CD13FC"/>
    <w:rsid w:val="00CD2CAF"/>
    <w:rsid w:val="00CD625D"/>
    <w:rsid w:val="00CE3415"/>
    <w:rsid w:val="00D108CB"/>
    <w:rsid w:val="00D16476"/>
    <w:rsid w:val="00D5492C"/>
    <w:rsid w:val="00D678DE"/>
    <w:rsid w:val="00D83D50"/>
    <w:rsid w:val="00D974AB"/>
    <w:rsid w:val="00DA4F6E"/>
    <w:rsid w:val="00DC197D"/>
    <w:rsid w:val="00DF2F93"/>
    <w:rsid w:val="00E5178F"/>
    <w:rsid w:val="00E61E97"/>
    <w:rsid w:val="00E73E7D"/>
    <w:rsid w:val="00E836D1"/>
    <w:rsid w:val="00EA08F1"/>
    <w:rsid w:val="00ED1A4D"/>
    <w:rsid w:val="00F04CF5"/>
    <w:rsid w:val="00F07087"/>
    <w:rsid w:val="00F22408"/>
    <w:rsid w:val="00F325B7"/>
    <w:rsid w:val="00F35ED4"/>
    <w:rsid w:val="00F36812"/>
    <w:rsid w:val="00F41650"/>
    <w:rsid w:val="00F55F2A"/>
    <w:rsid w:val="00F57DE9"/>
    <w:rsid w:val="00F77617"/>
    <w:rsid w:val="00F90BA4"/>
    <w:rsid w:val="00F96037"/>
    <w:rsid w:val="00F96D85"/>
    <w:rsid w:val="00FA0A7D"/>
    <w:rsid w:val="00FA0E6F"/>
    <w:rsid w:val="00FB0EBE"/>
    <w:rsid w:val="00FB7885"/>
    <w:rsid w:val="00FC1796"/>
    <w:rsid w:val="00FD5DE0"/>
    <w:rsid w:val="00FE4172"/>
    <w:rsid w:val="00FF2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A4"/>
  </w:style>
  <w:style w:type="paragraph" w:styleId="Heading1">
    <w:name w:val="heading 1"/>
    <w:basedOn w:val="Normal"/>
    <w:next w:val="Normal"/>
    <w:link w:val="Heading1Char"/>
    <w:uiPriority w:val="9"/>
    <w:qFormat/>
    <w:rsid w:val="00D974AB"/>
    <w:pPr>
      <w:spacing w:before="48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D974AB"/>
    <w:pPr>
      <w:spacing w:before="200" w:line="276" w:lineRule="auto"/>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D974AB"/>
    <w:pPr>
      <w:spacing w:before="200" w:line="271" w:lineRule="auto"/>
      <w:outlineLvl w:val="2"/>
    </w:pPr>
    <w:rPr>
      <w:rFonts w:asciiTheme="majorHAnsi" w:eastAsiaTheme="majorEastAsia" w:hAnsiTheme="majorHAnsi" w:cstheme="majorBidi"/>
      <w:b/>
      <w:bCs/>
      <w:lang w:val="en-US" w:bidi="en-US"/>
    </w:rPr>
  </w:style>
  <w:style w:type="paragraph" w:styleId="Heading4">
    <w:name w:val="heading 4"/>
    <w:basedOn w:val="Normal"/>
    <w:next w:val="Normal"/>
    <w:link w:val="Heading4Char"/>
    <w:uiPriority w:val="9"/>
    <w:semiHidden/>
    <w:unhideWhenUsed/>
    <w:qFormat/>
    <w:rsid w:val="00D974AB"/>
    <w:pPr>
      <w:spacing w:before="200" w:line="276" w:lineRule="auto"/>
      <w:outlineLvl w:val="3"/>
    </w:pPr>
    <w:rPr>
      <w:rFonts w:asciiTheme="majorHAnsi" w:eastAsiaTheme="majorEastAsia" w:hAnsiTheme="majorHAnsi" w:cstheme="majorBidi"/>
      <w:b/>
      <w:bCs/>
      <w:i/>
      <w:iCs/>
      <w:lang w:val="en-US" w:bidi="en-US"/>
    </w:rPr>
  </w:style>
  <w:style w:type="paragraph" w:styleId="Heading5">
    <w:name w:val="heading 5"/>
    <w:basedOn w:val="Normal"/>
    <w:next w:val="Normal"/>
    <w:link w:val="Heading5Char"/>
    <w:uiPriority w:val="9"/>
    <w:semiHidden/>
    <w:unhideWhenUsed/>
    <w:qFormat/>
    <w:rsid w:val="00D974AB"/>
    <w:pPr>
      <w:spacing w:before="200" w:line="276" w:lineRule="auto"/>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D974AB"/>
    <w:pPr>
      <w:spacing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D974AB"/>
    <w:pPr>
      <w:spacing w:line="276" w:lineRule="auto"/>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D974AB"/>
    <w:pPr>
      <w:spacing w:line="276" w:lineRule="auto"/>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D974AB"/>
    <w:pPr>
      <w:spacing w:line="276" w:lineRule="auto"/>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4A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D974A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semiHidden/>
    <w:rsid w:val="00D974AB"/>
    <w:rPr>
      <w:rFonts w:asciiTheme="majorHAnsi" w:eastAsiaTheme="majorEastAsia" w:hAnsiTheme="majorHAnsi" w:cstheme="majorBidi"/>
      <w:b/>
      <w:bCs/>
      <w:lang w:val="en-US" w:bidi="en-US"/>
    </w:rPr>
  </w:style>
  <w:style w:type="table" w:styleId="TableGrid">
    <w:name w:val="Table Grid"/>
    <w:basedOn w:val="TableNormal"/>
    <w:uiPriority w:val="59"/>
    <w:rsid w:val="00D974A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974AB"/>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D974AB"/>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D974AB"/>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D974AB"/>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D974AB"/>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D974AB"/>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D974AB"/>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10"/>
    <w:rsid w:val="00D974AB"/>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D974AB"/>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D974AB"/>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D974AB"/>
    <w:rPr>
      <w:b/>
      <w:bCs/>
    </w:rPr>
  </w:style>
  <w:style w:type="character" w:styleId="Emphasis">
    <w:name w:val="Emphasis"/>
    <w:uiPriority w:val="20"/>
    <w:qFormat/>
    <w:rsid w:val="00D974AB"/>
    <w:rPr>
      <w:b/>
      <w:bCs/>
      <w:i/>
      <w:iCs/>
      <w:spacing w:val="10"/>
      <w:bdr w:val="none" w:sz="0" w:space="0" w:color="auto"/>
      <w:shd w:val="clear" w:color="auto" w:fill="auto"/>
    </w:rPr>
  </w:style>
  <w:style w:type="paragraph" w:styleId="NoSpacing">
    <w:name w:val="No Spacing"/>
    <w:basedOn w:val="Normal"/>
    <w:uiPriority w:val="1"/>
    <w:qFormat/>
    <w:rsid w:val="00D974AB"/>
    <w:pPr>
      <w:spacing w:line="240" w:lineRule="auto"/>
    </w:pPr>
    <w:rPr>
      <w:rFonts w:eastAsiaTheme="minorEastAsia"/>
      <w:lang w:val="en-US" w:bidi="en-US"/>
    </w:rPr>
  </w:style>
  <w:style w:type="paragraph" w:styleId="ListParagraph">
    <w:name w:val="List Paragraph"/>
    <w:basedOn w:val="Normal"/>
    <w:uiPriority w:val="34"/>
    <w:qFormat/>
    <w:rsid w:val="00D974AB"/>
    <w:pPr>
      <w:spacing w:after="200" w:line="276" w:lineRule="auto"/>
      <w:ind w:left="720"/>
      <w:contextualSpacing/>
    </w:pPr>
    <w:rPr>
      <w:rFonts w:eastAsiaTheme="minorEastAsia"/>
      <w:lang w:val="en-US" w:bidi="en-US"/>
    </w:rPr>
  </w:style>
  <w:style w:type="paragraph" w:styleId="Quote">
    <w:name w:val="Quote"/>
    <w:basedOn w:val="Normal"/>
    <w:next w:val="Normal"/>
    <w:link w:val="QuoteChar"/>
    <w:uiPriority w:val="29"/>
    <w:qFormat/>
    <w:rsid w:val="00D974AB"/>
    <w:pPr>
      <w:spacing w:before="200" w:line="276" w:lineRule="auto"/>
      <w:ind w:left="360" w:right="360"/>
    </w:pPr>
    <w:rPr>
      <w:rFonts w:eastAsiaTheme="minorEastAsia"/>
      <w:i/>
      <w:iCs/>
      <w:lang w:val="en-US" w:bidi="en-US"/>
    </w:rPr>
  </w:style>
  <w:style w:type="character" w:customStyle="1" w:styleId="QuoteChar">
    <w:name w:val="Quote Char"/>
    <w:basedOn w:val="DefaultParagraphFont"/>
    <w:link w:val="Quote"/>
    <w:uiPriority w:val="29"/>
    <w:rsid w:val="00D974AB"/>
    <w:rPr>
      <w:rFonts w:eastAsiaTheme="minorEastAsia"/>
      <w:i/>
      <w:iCs/>
      <w:lang w:val="en-US" w:bidi="en-US"/>
    </w:rPr>
  </w:style>
  <w:style w:type="paragraph" w:styleId="IntenseQuote">
    <w:name w:val="Intense Quote"/>
    <w:basedOn w:val="Normal"/>
    <w:next w:val="Normal"/>
    <w:link w:val="IntenseQuoteChar"/>
    <w:uiPriority w:val="30"/>
    <w:qFormat/>
    <w:rsid w:val="00D974AB"/>
    <w:pPr>
      <w:pBdr>
        <w:bottom w:val="single" w:sz="4" w:space="1" w:color="auto"/>
      </w:pBdr>
      <w:spacing w:before="200" w:after="280" w:line="276" w:lineRule="auto"/>
      <w:ind w:left="1008" w:right="1152"/>
      <w:jc w:val="both"/>
    </w:pPr>
    <w:rPr>
      <w:rFonts w:eastAsiaTheme="minorEastAsia"/>
      <w:b/>
      <w:bCs/>
      <w:i/>
      <w:iCs/>
      <w:lang w:val="en-US" w:bidi="en-US"/>
    </w:rPr>
  </w:style>
  <w:style w:type="character" w:customStyle="1" w:styleId="IntenseQuoteChar">
    <w:name w:val="Intense Quote Char"/>
    <w:basedOn w:val="DefaultParagraphFont"/>
    <w:link w:val="IntenseQuote"/>
    <w:uiPriority w:val="30"/>
    <w:rsid w:val="00D974AB"/>
    <w:rPr>
      <w:rFonts w:eastAsiaTheme="minorEastAsia"/>
      <w:b/>
      <w:bCs/>
      <w:i/>
      <w:iCs/>
      <w:lang w:val="en-US" w:bidi="en-US"/>
    </w:rPr>
  </w:style>
  <w:style w:type="character" w:styleId="SubtleEmphasis">
    <w:name w:val="Subtle Emphasis"/>
    <w:uiPriority w:val="19"/>
    <w:qFormat/>
    <w:rsid w:val="00D974AB"/>
    <w:rPr>
      <w:i/>
      <w:iCs/>
    </w:rPr>
  </w:style>
  <w:style w:type="character" w:styleId="IntenseEmphasis">
    <w:name w:val="Intense Emphasis"/>
    <w:uiPriority w:val="21"/>
    <w:qFormat/>
    <w:rsid w:val="00D974AB"/>
    <w:rPr>
      <w:b/>
      <w:bCs/>
    </w:rPr>
  </w:style>
  <w:style w:type="character" w:styleId="SubtleReference">
    <w:name w:val="Subtle Reference"/>
    <w:uiPriority w:val="31"/>
    <w:qFormat/>
    <w:rsid w:val="00D974AB"/>
    <w:rPr>
      <w:smallCaps/>
    </w:rPr>
  </w:style>
  <w:style w:type="character" w:styleId="IntenseReference">
    <w:name w:val="Intense Reference"/>
    <w:uiPriority w:val="32"/>
    <w:qFormat/>
    <w:rsid w:val="00D974AB"/>
    <w:rPr>
      <w:smallCaps/>
      <w:spacing w:val="5"/>
      <w:u w:val="single"/>
    </w:rPr>
  </w:style>
  <w:style w:type="character" w:styleId="BookTitle">
    <w:name w:val="Book Title"/>
    <w:uiPriority w:val="33"/>
    <w:qFormat/>
    <w:rsid w:val="00D974AB"/>
    <w:rPr>
      <w:i/>
      <w:iCs/>
      <w:smallCaps/>
      <w:spacing w:val="5"/>
    </w:rPr>
  </w:style>
  <w:style w:type="paragraph" w:styleId="TOCHeading">
    <w:name w:val="TOC Heading"/>
    <w:basedOn w:val="Heading1"/>
    <w:next w:val="Normal"/>
    <w:uiPriority w:val="39"/>
    <w:semiHidden/>
    <w:unhideWhenUsed/>
    <w:qFormat/>
    <w:rsid w:val="00D974AB"/>
    <w:pPr>
      <w:outlineLvl w:val="9"/>
    </w:pPr>
  </w:style>
  <w:style w:type="character" w:customStyle="1" w:styleId="EndnoteTextChar">
    <w:name w:val="Endnote Text Char"/>
    <w:basedOn w:val="DefaultParagraphFont"/>
    <w:link w:val="EndnoteText"/>
    <w:uiPriority w:val="99"/>
    <w:semiHidden/>
    <w:rsid w:val="00D974AB"/>
    <w:rPr>
      <w:rFonts w:eastAsiaTheme="minorEastAsia"/>
      <w:sz w:val="20"/>
      <w:szCs w:val="20"/>
      <w:lang w:val="en-US" w:bidi="en-US"/>
    </w:rPr>
  </w:style>
  <w:style w:type="paragraph" w:styleId="EndnoteText">
    <w:name w:val="endnote text"/>
    <w:basedOn w:val="Normal"/>
    <w:link w:val="EndnoteTextChar"/>
    <w:uiPriority w:val="99"/>
    <w:semiHidden/>
    <w:unhideWhenUsed/>
    <w:rsid w:val="00D974AB"/>
    <w:pPr>
      <w:spacing w:line="240" w:lineRule="auto"/>
    </w:pPr>
    <w:rPr>
      <w:rFonts w:eastAsiaTheme="minorEastAsia"/>
      <w:sz w:val="20"/>
      <w:szCs w:val="20"/>
      <w:lang w:val="en-US" w:bidi="en-US"/>
    </w:rPr>
  </w:style>
  <w:style w:type="character" w:customStyle="1" w:styleId="HeaderChar">
    <w:name w:val="Header Char"/>
    <w:basedOn w:val="DefaultParagraphFont"/>
    <w:link w:val="Header"/>
    <w:uiPriority w:val="99"/>
    <w:rsid w:val="00D974AB"/>
    <w:rPr>
      <w:rFonts w:eastAsiaTheme="minorEastAsia"/>
      <w:lang w:val="en-US" w:bidi="en-US"/>
    </w:rPr>
  </w:style>
  <w:style w:type="paragraph" w:styleId="Header">
    <w:name w:val="header"/>
    <w:basedOn w:val="Normal"/>
    <w:link w:val="HeaderChar"/>
    <w:uiPriority w:val="99"/>
    <w:unhideWhenUsed/>
    <w:rsid w:val="00D974AB"/>
    <w:pPr>
      <w:tabs>
        <w:tab w:val="center" w:pos="4153"/>
        <w:tab w:val="right" w:pos="8306"/>
      </w:tabs>
      <w:spacing w:line="240" w:lineRule="auto"/>
    </w:pPr>
    <w:rPr>
      <w:rFonts w:eastAsiaTheme="minorEastAsia"/>
      <w:lang w:val="en-US" w:bidi="en-US"/>
    </w:rPr>
  </w:style>
  <w:style w:type="paragraph" w:styleId="Footer">
    <w:name w:val="footer"/>
    <w:basedOn w:val="Normal"/>
    <w:link w:val="FooterChar"/>
    <w:uiPriority w:val="99"/>
    <w:unhideWhenUsed/>
    <w:rsid w:val="00D974AB"/>
    <w:pPr>
      <w:tabs>
        <w:tab w:val="center" w:pos="4153"/>
        <w:tab w:val="right" w:pos="8306"/>
      </w:tabs>
      <w:spacing w:line="240" w:lineRule="auto"/>
    </w:pPr>
    <w:rPr>
      <w:rFonts w:eastAsiaTheme="minorEastAsia"/>
      <w:lang w:val="en-US" w:bidi="en-US"/>
    </w:rPr>
  </w:style>
  <w:style w:type="character" w:customStyle="1" w:styleId="FooterChar">
    <w:name w:val="Footer Char"/>
    <w:basedOn w:val="DefaultParagraphFont"/>
    <w:link w:val="Footer"/>
    <w:uiPriority w:val="99"/>
    <w:rsid w:val="00D974AB"/>
    <w:rPr>
      <w:rFonts w:eastAsiaTheme="minorEastAsia"/>
      <w:lang w:val="en-US" w:bidi="en-US"/>
    </w:rPr>
  </w:style>
  <w:style w:type="character" w:styleId="Hyperlink">
    <w:name w:val="Hyperlink"/>
    <w:basedOn w:val="DefaultParagraphFont"/>
    <w:uiPriority w:val="99"/>
    <w:unhideWhenUsed/>
    <w:rsid w:val="00D974AB"/>
    <w:rPr>
      <w:color w:val="0000FF"/>
      <w:u w:val="single"/>
    </w:rPr>
  </w:style>
  <w:style w:type="character" w:customStyle="1" w:styleId="highlight">
    <w:name w:val="highlight"/>
    <w:basedOn w:val="DefaultParagraphFont"/>
    <w:rsid w:val="00D974AB"/>
  </w:style>
  <w:style w:type="paragraph" w:customStyle="1" w:styleId="1">
    <w:name w:val="Τίτλος1"/>
    <w:basedOn w:val="Normal"/>
    <w:rsid w:val="00D974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sc">
    <w:name w:val="desc"/>
    <w:basedOn w:val="Normal"/>
    <w:rsid w:val="00D974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tails">
    <w:name w:val="details"/>
    <w:basedOn w:val="Normal"/>
    <w:rsid w:val="00D974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DefaultParagraphFont"/>
    <w:rsid w:val="00D974AB"/>
  </w:style>
  <w:style w:type="paragraph" w:customStyle="1" w:styleId="Default">
    <w:name w:val="Default"/>
    <w:rsid w:val="00D974AB"/>
    <w:pPr>
      <w:autoSpaceDE w:val="0"/>
      <w:autoSpaceDN w:val="0"/>
      <w:adjustRightInd w:val="0"/>
      <w:spacing w:line="240" w:lineRule="auto"/>
    </w:pPr>
    <w:rPr>
      <w:rFonts w:ascii="Arno Pro Light Display" w:eastAsiaTheme="minorEastAsia" w:hAnsi="Arno Pro Light Display" w:cs="Arno Pro Light Display"/>
      <w:color w:val="000000"/>
      <w:sz w:val="24"/>
      <w:szCs w:val="24"/>
    </w:rPr>
  </w:style>
  <w:style w:type="paragraph" w:customStyle="1" w:styleId="Pa5">
    <w:name w:val="Pa5"/>
    <w:basedOn w:val="Default"/>
    <w:next w:val="Default"/>
    <w:uiPriority w:val="99"/>
    <w:rsid w:val="00D974AB"/>
    <w:pPr>
      <w:spacing w:line="241" w:lineRule="atLeast"/>
    </w:pPr>
    <w:rPr>
      <w:rFonts w:cstheme="minorBidi"/>
      <w:color w:val="auto"/>
    </w:rPr>
  </w:style>
  <w:style w:type="character" w:customStyle="1" w:styleId="A6">
    <w:name w:val="A6"/>
    <w:uiPriority w:val="99"/>
    <w:rsid w:val="00D974AB"/>
    <w:rPr>
      <w:rFonts w:cs="Arno Pro"/>
      <w:b/>
      <w:bCs/>
      <w:color w:val="000000"/>
      <w:sz w:val="34"/>
      <w:szCs w:val="34"/>
    </w:rPr>
  </w:style>
  <w:style w:type="character" w:customStyle="1" w:styleId="A7">
    <w:name w:val="A7"/>
    <w:uiPriority w:val="99"/>
    <w:rsid w:val="00D974AB"/>
    <w:rPr>
      <w:rFonts w:cs="Arno Pro"/>
      <w:i/>
      <w:iCs/>
      <w:color w:val="000000"/>
      <w:sz w:val="14"/>
      <w:szCs w:val="14"/>
    </w:rPr>
  </w:style>
  <w:style w:type="character" w:customStyle="1" w:styleId="A5">
    <w:name w:val="A5"/>
    <w:uiPriority w:val="99"/>
    <w:rsid w:val="00D974AB"/>
    <w:rPr>
      <w:rFonts w:cs="Arno Pro Light Display"/>
      <w:color w:val="000000"/>
      <w:sz w:val="20"/>
      <w:szCs w:val="20"/>
    </w:rPr>
  </w:style>
  <w:style w:type="character" w:customStyle="1" w:styleId="BalloonTextChar">
    <w:name w:val="Balloon Text Char"/>
    <w:basedOn w:val="DefaultParagraphFont"/>
    <w:link w:val="BalloonText"/>
    <w:uiPriority w:val="99"/>
    <w:semiHidden/>
    <w:rsid w:val="00D974AB"/>
    <w:rPr>
      <w:rFonts w:ascii="Tahoma" w:eastAsiaTheme="minorEastAsia" w:hAnsi="Tahoma" w:cs="Tahoma"/>
      <w:sz w:val="16"/>
      <w:szCs w:val="16"/>
      <w:lang w:val="en-US" w:bidi="en-US"/>
    </w:rPr>
  </w:style>
  <w:style w:type="paragraph" w:styleId="BalloonText">
    <w:name w:val="Balloon Text"/>
    <w:basedOn w:val="Normal"/>
    <w:link w:val="BalloonTextChar"/>
    <w:uiPriority w:val="99"/>
    <w:semiHidden/>
    <w:unhideWhenUsed/>
    <w:rsid w:val="00D974AB"/>
    <w:pPr>
      <w:spacing w:line="240" w:lineRule="auto"/>
    </w:pPr>
    <w:rPr>
      <w:rFonts w:ascii="Tahoma" w:eastAsiaTheme="minorEastAsia" w:hAnsi="Tahoma" w:cs="Tahoma"/>
      <w:sz w:val="16"/>
      <w:szCs w:val="16"/>
      <w:lang w:val="en-US" w:bidi="en-US"/>
    </w:rPr>
  </w:style>
  <w:style w:type="paragraph" w:styleId="CommentText">
    <w:name w:val="annotation text"/>
    <w:basedOn w:val="Normal"/>
    <w:link w:val="CommentTextChar"/>
    <w:uiPriority w:val="99"/>
    <w:semiHidden/>
    <w:unhideWhenUsed/>
    <w:rsid w:val="00D974AB"/>
    <w:pPr>
      <w:spacing w:after="200" w:line="240" w:lineRule="auto"/>
    </w:pPr>
    <w:rPr>
      <w:rFonts w:eastAsiaTheme="minorEastAsia"/>
      <w:sz w:val="20"/>
      <w:szCs w:val="20"/>
      <w:lang w:val="en-US" w:bidi="en-US"/>
    </w:rPr>
  </w:style>
  <w:style w:type="character" w:customStyle="1" w:styleId="CommentTextChar">
    <w:name w:val="Comment Text Char"/>
    <w:basedOn w:val="DefaultParagraphFont"/>
    <w:link w:val="CommentText"/>
    <w:uiPriority w:val="99"/>
    <w:semiHidden/>
    <w:rsid w:val="00D974AB"/>
    <w:rPr>
      <w:rFonts w:eastAsiaTheme="minorEastAsia"/>
      <w:sz w:val="20"/>
      <w:szCs w:val="20"/>
      <w:lang w:val="en-US" w:bidi="en-US"/>
    </w:rPr>
  </w:style>
  <w:style w:type="character" w:customStyle="1" w:styleId="CommentSubjectChar">
    <w:name w:val="Comment Subject Char"/>
    <w:basedOn w:val="CommentTextChar"/>
    <w:link w:val="CommentSubject"/>
    <w:uiPriority w:val="99"/>
    <w:semiHidden/>
    <w:rsid w:val="00D974AB"/>
    <w:rPr>
      <w:rFonts w:eastAsiaTheme="minorEastAsia"/>
      <w:b/>
      <w:bCs/>
      <w:sz w:val="20"/>
      <w:szCs w:val="20"/>
      <w:lang w:val="en-US" w:bidi="en-US"/>
    </w:rPr>
  </w:style>
  <w:style w:type="paragraph" w:styleId="CommentSubject">
    <w:name w:val="annotation subject"/>
    <w:basedOn w:val="CommentText"/>
    <w:next w:val="CommentText"/>
    <w:link w:val="CommentSubjectChar"/>
    <w:uiPriority w:val="99"/>
    <w:semiHidden/>
    <w:unhideWhenUsed/>
    <w:rsid w:val="00D974AB"/>
    <w:rPr>
      <w:b/>
      <w:bCs/>
    </w:rPr>
  </w:style>
  <w:style w:type="paragraph" w:styleId="PlainText">
    <w:name w:val="Plain Text"/>
    <w:basedOn w:val="Normal"/>
    <w:link w:val="PlainTextChar"/>
    <w:uiPriority w:val="99"/>
    <w:semiHidden/>
    <w:unhideWhenUsed/>
    <w:rsid w:val="004F68CA"/>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4F68C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1655">
      <w:bodyDiv w:val="1"/>
      <w:marLeft w:val="0"/>
      <w:marRight w:val="0"/>
      <w:marTop w:val="0"/>
      <w:marBottom w:val="0"/>
      <w:divBdr>
        <w:top w:val="none" w:sz="0" w:space="0" w:color="auto"/>
        <w:left w:val="none" w:sz="0" w:space="0" w:color="auto"/>
        <w:bottom w:val="none" w:sz="0" w:space="0" w:color="auto"/>
        <w:right w:val="none" w:sz="0" w:space="0" w:color="auto"/>
      </w:divBdr>
    </w:div>
    <w:div w:id="1167087282">
      <w:bodyDiv w:val="1"/>
      <w:marLeft w:val="0"/>
      <w:marRight w:val="0"/>
      <w:marTop w:val="0"/>
      <w:marBottom w:val="0"/>
      <w:divBdr>
        <w:top w:val="none" w:sz="0" w:space="0" w:color="auto"/>
        <w:left w:val="none" w:sz="0" w:space="0" w:color="auto"/>
        <w:bottom w:val="none" w:sz="0" w:space="0" w:color="auto"/>
        <w:right w:val="none" w:sz="0" w:space="0" w:color="auto"/>
      </w:divBdr>
      <w:divsChild>
        <w:div w:id="1628314184">
          <w:marLeft w:val="0"/>
          <w:marRight w:val="0"/>
          <w:marTop w:val="0"/>
          <w:marBottom w:val="0"/>
          <w:divBdr>
            <w:top w:val="none" w:sz="0" w:space="0" w:color="auto"/>
            <w:left w:val="none" w:sz="0" w:space="0" w:color="auto"/>
            <w:bottom w:val="none" w:sz="0" w:space="0" w:color="auto"/>
            <w:right w:val="none" w:sz="0" w:space="0" w:color="auto"/>
          </w:divBdr>
        </w:div>
        <w:div w:id="125809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Varsani%20H%5BAuthor%5D&amp;cauthor=true&amp;cauthor_uid=18311821" TargetMode="External"/><Relationship Id="rId18" Type="http://schemas.openxmlformats.org/officeDocument/2006/relationships/hyperlink" Target="http://www.ncbi.nlm.nih.gov/pubmed?term=Brunner%20HI%5BAuthor%5D&amp;cauthor=true&amp;cauthor_uid=12022323" TargetMode="External"/><Relationship Id="rId26" Type="http://schemas.openxmlformats.org/officeDocument/2006/relationships/hyperlink" Target="http://www.ncbi.nlm.nih.gov/pubmed?term=Tsitsami%20E%5BAuthor%5D&amp;cauthor=true&amp;cauthor_uid=11510336" TargetMode="External"/><Relationship Id="rId3" Type="http://schemas.openxmlformats.org/officeDocument/2006/relationships/styles" Target="styles.xml"/><Relationship Id="rId21" Type="http://schemas.openxmlformats.org/officeDocument/2006/relationships/hyperlink" Target="http://www.ncbi.nlm.nih.gov/pubmed?term=Giannini%20EH%5BAuthor%5D&amp;cauthor=true&amp;cauthor_uid=120223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Newton%20KR%5BAuthor%5D&amp;cauthor=true&amp;cauthor_uid=18311821" TargetMode="External"/><Relationship Id="rId17" Type="http://schemas.openxmlformats.org/officeDocument/2006/relationships/hyperlink" Target="http://www.ncbi.nlm.nih.gov/pubmed/17762613" TargetMode="External"/><Relationship Id="rId25" Type="http://schemas.openxmlformats.org/officeDocument/2006/relationships/hyperlink" Target="http://www.ncbi.nlm.nih.gov/pubmed?term=Vougiouka%20O%5BAuthor%5D&amp;cauthor=true&amp;cauthor_uid=115103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18311821" TargetMode="External"/><Relationship Id="rId20" Type="http://schemas.openxmlformats.org/officeDocument/2006/relationships/hyperlink" Target="http://www.ncbi.nlm.nih.gov/pubmed?term=Finck%20BK%5BAuthor%5D&amp;cauthor=true&amp;cauthor_uid=12022323" TargetMode="External"/><Relationship Id="rId29" Type="http://schemas.openxmlformats.org/officeDocument/2006/relationships/hyperlink" Target="http://www.ncbi.nlm.nih.gov/pubmed?term=Dracou%20C%5BAuthor%5D&amp;cauthor=true&amp;cauthor_uid=115103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Moncrieffe%20H%5BAuthor%5D&amp;cauthor=true&amp;cauthor_uid=18311821" TargetMode="External"/><Relationship Id="rId24" Type="http://schemas.openxmlformats.org/officeDocument/2006/relationships/hyperlink" Target="http://www.ncbi.nlm.nih.gov/pubmed?term=Pratsidou-Gertsi%20P%5BAuthor%5D&amp;cauthor=true&amp;cauthor_uid=1151033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Wedderburn%20LR%5BAuthor%5D&amp;cauthor=true&amp;cauthor_uid=18311821" TargetMode="External"/><Relationship Id="rId23" Type="http://schemas.openxmlformats.org/officeDocument/2006/relationships/hyperlink" Target="http://www.ncbi.nlm.nih.gov/pubmed/11510308" TargetMode="External"/><Relationship Id="rId28" Type="http://schemas.openxmlformats.org/officeDocument/2006/relationships/hyperlink" Target="http://www.ncbi.nlm.nih.gov/pubmed?term=Siamopoulou-Mavridou%20A%5BAuthor%5D&amp;cauthor=true&amp;cauthor_uid=11510336" TargetMode="External"/><Relationship Id="rId10" Type="http://schemas.openxmlformats.org/officeDocument/2006/relationships/hyperlink" Target="http://www.ncbi.nlm.nih.gov/pubmed/?term=Nistala%20K%5BAuthor%5D&amp;cauthor=true&amp;cauthor_uid=18311821" TargetMode="External"/><Relationship Id="rId19" Type="http://schemas.openxmlformats.org/officeDocument/2006/relationships/hyperlink" Target="http://www.ncbi.nlm.nih.gov/pubmed?term=Lovell%20DJ%5BAuthor%5D&amp;cauthor=true&amp;cauthor_uid=12022323" TargetMode="External"/><Relationship Id="rId31" Type="http://schemas.openxmlformats.org/officeDocument/2006/relationships/hyperlink" Target="http://www.ncbi.nlm.nih.gov/pubmed/221839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term=Hunter%20P%5BAuthor%5D&amp;cauthor=true&amp;cauthor_uid=18311821" TargetMode="External"/><Relationship Id="rId22" Type="http://schemas.openxmlformats.org/officeDocument/2006/relationships/hyperlink" Target="http://www.ncbi.nlm.nih.gov/pubmed/12022323" TargetMode="External"/><Relationship Id="rId27" Type="http://schemas.openxmlformats.org/officeDocument/2006/relationships/hyperlink" Target="http://www.ncbi.nlm.nih.gov/pubmed?term=Ruperto%20N%5BAuthor%5D&amp;cauthor=true&amp;cauthor_uid=11510336" TargetMode="External"/><Relationship Id="rId30" Type="http://schemas.openxmlformats.org/officeDocument/2006/relationships/hyperlink" Target="http://www.ncbi.nlm.nih.gov/pubmed?term=CHAQ%20greek%20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7BC35-7690-4CA1-BAB7-7D307AFB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46</Pages>
  <Words>12895</Words>
  <Characters>69636</Characters>
  <Application>Microsoft Office Word</Application>
  <DocSecurity>0</DocSecurity>
  <Lines>580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4</dc:creator>
  <cp:lastModifiedBy>PT</cp:lastModifiedBy>
  <cp:revision>117</cp:revision>
  <cp:lastPrinted>2015-02-27T10:24:00Z</cp:lastPrinted>
  <dcterms:created xsi:type="dcterms:W3CDTF">2015-02-19T08:36:00Z</dcterms:created>
  <dcterms:modified xsi:type="dcterms:W3CDTF">2015-04-15T06:58:00Z</dcterms:modified>
</cp:coreProperties>
</file>